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9E" w:rsidRDefault="0013079E" w:rsidP="0013079E">
      <w:pPr>
        <w:pStyle w:val="rvps2"/>
        <w:rPr>
          <w:rStyle w:val="rvts9"/>
          <w:lang w:val="uk-UA"/>
        </w:rPr>
      </w:pPr>
    </w:p>
    <w:p w:rsidR="0013079E" w:rsidRPr="0013079E" w:rsidRDefault="0013079E" w:rsidP="0013079E">
      <w:pPr>
        <w:pStyle w:val="rvps2"/>
        <w:rPr>
          <w:lang w:val="uk-UA"/>
        </w:rPr>
      </w:pPr>
      <w:r>
        <w:rPr>
          <w:rStyle w:val="rvts9"/>
          <w:lang w:val="uk-UA"/>
        </w:rPr>
        <w:t>Відповідно до</w:t>
      </w:r>
      <w:r w:rsidR="00BE04C9">
        <w:rPr>
          <w:rStyle w:val="rvts9"/>
          <w:lang w:val="uk-UA"/>
        </w:rPr>
        <w:t xml:space="preserve"> </w:t>
      </w:r>
      <w:r w:rsidR="00BE04C9">
        <w:rPr>
          <w:lang w:val="uk-UA"/>
        </w:rPr>
        <w:t>Закону України «Про акціонерні товариства»</w:t>
      </w:r>
      <w:r>
        <w:rPr>
          <w:rStyle w:val="rvts9"/>
          <w:lang w:val="uk-UA"/>
        </w:rPr>
        <w:t xml:space="preserve"> </w:t>
      </w:r>
      <w:r w:rsidRPr="0013079E">
        <w:rPr>
          <w:rStyle w:val="rvts9"/>
          <w:lang w:val="uk-UA"/>
        </w:rPr>
        <w:t>Статт</w:t>
      </w:r>
      <w:r w:rsidR="00BE04C9">
        <w:rPr>
          <w:rStyle w:val="rvts9"/>
          <w:lang w:val="uk-UA"/>
        </w:rPr>
        <w:t>я</w:t>
      </w:r>
      <w:r w:rsidRPr="0013079E">
        <w:rPr>
          <w:rStyle w:val="rvts9"/>
          <w:lang w:val="uk-UA"/>
        </w:rPr>
        <w:t xml:space="preserve"> 49</w:t>
      </w:r>
      <w:r w:rsidR="00BE04C9">
        <w:rPr>
          <w:rStyle w:val="rvts9"/>
          <w:lang w:val="uk-UA"/>
        </w:rPr>
        <w:t xml:space="preserve"> </w:t>
      </w:r>
      <w:r w:rsidRPr="0013079E">
        <w:rPr>
          <w:lang w:val="uk-UA"/>
        </w:rPr>
        <w:t>Особливості проведення загальних зборів товариством, що складається з однієї особи</w:t>
      </w:r>
      <w:bookmarkStart w:id="0" w:name="_GoBack"/>
      <w:bookmarkEnd w:id="0"/>
      <w:r>
        <w:rPr>
          <w:lang w:val="uk-UA"/>
        </w:rPr>
        <w:t>: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1" w:name="n702"/>
      <w:bookmarkEnd w:id="1"/>
      <w:r w:rsidRPr="0013079E">
        <w:rPr>
          <w:lang w:val="uk-UA"/>
        </w:rPr>
        <w:t xml:space="preserve">1. До товариства з одним акціонером не застосовуються положення </w:t>
      </w:r>
      <w:hyperlink r:id="rId4" w:anchor="n406" w:history="1">
        <w:r w:rsidRPr="0013079E">
          <w:rPr>
            <w:rStyle w:val="a3"/>
            <w:lang w:val="uk-UA"/>
          </w:rPr>
          <w:t>статей 33-48</w:t>
        </w:r>
      </w:hyperlink>
      <w:r w:rsidRPr="0013079E">
        <w:rPr>
          <w:lang w:val="uk-UA"/>
        </w:rPr>
        <w:t xml:space="preserve"> цього Закону щодо порядку скликання та проведення загальних зборів акціонерного товариства.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2" w:name="n703"/>
      <w:bookmarkEnd w:id="2"/>
      <w:r w:rsidRPr="0013079E">
        <w:rPr>
          <w:rStyle w:val="rvts46"/>
          <w:lang w:val="uk-UA"/>
        </w:rPr>
        <w:t xml:space="preserve">{Частина перша статті 49 в редакції Закону </w:t>
      </w:r>
      <w:hyperlink r:id="rId5" w:tgtFrame="_blank" w:history="1">
        <w:r w:rsidRPr="0013079E">
          <w:rPr>
            <w:rStyle w:val="a3"/>
            <w:lang w:val="uk-UA"/>
          </w:rPr>
          <w:t>№ 2994-VI від 03.02.2011</w:t>
        </w:r>
      </w:hyperlink>
      <w:r w:rsidRPr="0013079E">
        <w:rPr>
          <w:rStyle w:val="rvts46"/>
          <w:lang w:val="uk-UA"/>
        </w:rPr>
        <w:t>}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3" w:name="n704"/>
      <w:bookmarkEnd w:id="3"/>
      <w:r w:rsidRPr="0013079E">
        <w:rPr>
          <w:lang w:val="uk-UA"/>
        </w:rPr>
        <w:t xml:space="preserve">2. Повноваження загальних зборів товариства, передбачені </w:t>
      </w:r>
      <w:hyperlink r:id="rId6" w:anchor="n406" w:history="1">
        <w:r w:rsidRPr="0013079E">
          <w:rPr>
            <w:rStyle w:val="a3"/>
            <w:lang w:val="uk-UA"/>
          </w:rPr>
          <w:t>статтею 33</w:t>
        </w:r>
      </w:hyperlink>
      <w:r w:rsidRPr="0013079E">
        <w:rPr>
          <w:lang w:val="uk-UA"/>
        </w:rPr>
        <w:t xml:space="preserve"> цього Закону та внутрішніми документами товариства, здійснюються акціонером одноосібно.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4" w:name="n705"/>
      <w:bookmarkEnd w:id="4"/>
      <w:r w:rsidRPr="0013079E">
        <w:rPr>
          <w:lang w:val="uk-UA"/>
        </w:rPr>
        <w:t>Рішення акціонера з питань, що належать до компетенції загальних зборів, оформлюється ним письмово (у формі рішення). Таке рішення акціонера має статус протоколу загальних зборів акціонерного товариства.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5" w:name="n706"/>
      <w:bookmarkEnd w:id="5"/>
      <w:r w:rsidRPr="0013079E">
        <w:rPr>
          <w:rStyle w:val="rvts46"/>
          <w:lang w:val="uk-UA"/>
        </w:rPr>
        <w:t xml:space="preserve">{Абзац другий частини другої статті 49 із змінами, внесеними згідно із Законом </w:t>
      </w:r>
      <w:hyperlink r:id="rId7" w:anchor="n80" w:tgtFrame="_blank" w:history="1">
        <w:r w:rsidRPr="0013079E">
          <w:rPr>
            <w:rStyle w:val="a3"/>
            <w:lang w:val="uk-UA"/>
          </w:rPr>
          <w:t>№ 1206-VII від 15.04.2014</w:t>
        </w:r>
      </w:hyperlink>
      <w:r w:rsidRPr="0013079E">
        <w:rPr>
          <w:rStyle w:val="rvts46"/>
          <w:lang w:val="uk-UA"/>
        </w:rPr>
        <w:t>}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6" w:name="n707"/>
      <w:bookmarkEnd w:id="6"/>
      <w:r w:rsidRPr="0013079E">
        <w:rPr>
          <w:rStyle w:val="rvts46"/>
          <w:lang w:val="uk-UA"/>
        </w:rPr>
        <w:t xml:space="preserve">{Частина друга статті 49 в редакції Закону </w:t>
      </w:r>
      <w:hyperlink r:id="rId8" w:tgtFrame="_blank" w:history="1">
        <w:r w:rsidRPr="0013079E">
          <w:rPr>
            <w:rStyle w:val="a3"/>
            <w:lang w:val="uk-UA"/>
          </w:rPr>
          <w:t>№ 2994-VI від 03.02.2011</w:t>
        </w:r>
      </w:hyperlink>
      <w:r w:rsidRPr="0013079E">
        <w:rPr>
          <w:rStyle w:val="rvts46"/>
          <w:lang w:val="uk-UA"/>
        </w:rPr>
        <w:t>}</w:t>
      </w:r>
    </w:p>
    <w:p w:rsidR="0013079E" w:rsidRPr="0013079E" w:rsidRDefault="0013079E" w:rsidP="0013079E">
      <w:pPr>
        <w:pStyle w:val="rvps2"/>
        <w:rPr>
          <w:lang w:val="uk-UA"/>
        </w:rPr>
      </w:pPr>
      <w:bookmarkStart w:id="7" w:name="n708"/>
      <w:bookmarkEnd w:id="7"/>
      <w:r w:rsidRPr="0013079E">
        <w:rPr>
          <w:lang w:val="uk-UA"/>
        </w:rPr>
        <w:t>3. Обрання персонального складу наглядової ради, ревізійної комісії (в разі їх створення) здійснюється без застосування кумулятивного голосування.</w:t>
      </w:r>
    </w:p>
    <w:p w:rsidR="004E42D4" w:rsidRPr="0013079E" w:rsidRDefault="004E42D4">
      <w:pPr>
        <w:rPr>
          <w:lang w:val="uk-UA"/>
        </w:rPr>
      </w:pPr>
    </w:p>
    <w:p w:rsidR="0013079E" w:rsidRPr="0013079E" w:rsidRDefault="0013079E">
      <w:pPr>
        <w:rPr>
          <w:lang w:val="uk-UA"/>
        </w:rPr>
      </w:pPr>
    </w:p>
    <w:sectPr w:rsidR="0013079E" w:rsidRPr="001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9E"/>
    <w:rsid w:val="0013079E"/>
    <w:rsid w:val="004E42D4"/>
    <w:rsid w:val="00B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C78"/>
  <w15:chartTrackingRefBased/>
  <w15:docId w15:val="{99F94561-F1D4-4373-B31F-195356B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3079E"/>
  </w:style>
  <w:style w:type="character" w:styleId="a3">
    <w:name w:val="Hyperlink"/>
    <w:basedOn w:val="a0"/>
    <w:uiPriority w:val="99"/>
    <w:semiHidden/>
    <w:unhideWhenUsed/>
    <w:rsid w:val="0013079E"/>
    <w:rPr>
      <w:color w:val="0000FF"/>
      <w:u w:val="single"/>
    </w:rPr>
  </w:style>
  <w:style w:type="character" w:customStyle="1" w:styleId="rvts46">
    <w:name w:val="rvts46"/>
    <w:basedOn w:val="a0"/>
    <w:rsid w:val="0013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994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206-18/paran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514-17/print1443686631722986" TargetMode="External"/><Relationship Id="rId5" Type="http://schemas.openxmlformats.org/officeDocument/2006/relationships/hyperlink" Target="http://zakon5.rada.gov.ua/laws/show/2994-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5.rada.gov.ua/laws/show/514-17/print14436866317229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2017-09-21T08:37:00Z</dcterms:created>
  <dcterms:modified xsi:type="dcterms:W3CDTF">2017-09-21T08:41:00Z</dcterms:modified>
</cp:coreProperties>
</file>