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B5" w:rsidRPr="00A13E4B" w:rsidRDefault="00050DB5" w:rsidP="007A1FD0">
      <w:pPr>
        <w:pStyle w:val="1"/>
        <w:jc w:val="center"/>
        <w:rPr>
          <w:rFonts w:ascii="Times New Roman" w:hAnsi="Times New Roman" w:cs="Times New Roman"/>
          <w:color w:val="auto"/>
        </w:rPr>
      </w:pPr>
      <w:r w:rsidRPr="00A13E4B">
        <w:rPr>
          <w:rFonts w:ascii="Times New Roman" w:hAnsi="Times New Roman" w:cs="Times New Roman"/>
          <w:color w:val="auto"/>
        </w:rPr>
        <w:t xml:space="preserve">Звіт про управління </w:t>
      </w:r>
      <w:r w:rsidR="00A13E4B" w:rsidRPr="00A13E4B">
        <w:rPr>
          <w:rFonts w:ascii="Times New Roman" w:hAnsi="Times New Roman" w:cs="Times New Roman"/>
          <w:color w:val="auto"/>
        </w:rPr>
        <w:br/>
      </w:r>
      <w:r w:rsidRPr="00A13E4B">
        <w:rPr>
          <w:rFonts w:ascii="Times New Roman" w:hAnsi="Times New Roman" w:cs="Times New Roman"/>
          <w:color w:val="auto"/>
        </w:rPr>
        <w:t xml:space="preserve">ПАТ "Київський завод "Радар" </w:t>
      </w:r>
      <w:r w:rsidR="00A13E4B" w:rsidRPr="00A13E4B">
        <w:rPr>
          <w:rFonts w:ascii="Times New Roman" w:hAnsi="Times New Roman" w:cs="Times New Roman"/>
          <w:color w:val="auto"/>
        </w:rPr>
        <w:br/>
        <w:t xml:space="preserve">(код ЄДРПОУ </w:t>
      </w:r>
      <w:r w:rsidR="00A13E4B" w:rsidRPr="00A13E4B">
        <w:rPr>
          <w:rFonts w:ascii="Times New Roman" w:hAnsi="Times New Roman" w:cs="Times New Roman"/>
          <w:color w:val="auto"/>
          <w:lang w:val="ru-RU"/>
        </w:rPr>
        <w:t>14307274</w:t>
      </w:r>
      <w:r w:rsidR="00A13E4B" w:rsidRPr="00A13E4B">
        <w:rPr>
          <w:rFonts w:ascii="Times New Roman" w:hAnsi="Times New Roman" w:cs="Times New Roman"/>
          <w:color w:val="auto"/>
        </w:rPr>
        <w:t>)</w:t>
      </w:r>
      <w:r w:rsidR="00A13E4B" w:rsidRPr="00A13E4B">
        <w:rPr>
          <w:rFonts w:ascii="Times New Roman" w:hAnsi="Times New Roman" w:cs="Times New Roman"/>
          <w:color w:val="auto"/>
        </w:rPr>
        <w:br/>
        <w:t>Звітний період</w:t>
      </w:r>
      <w:r w:rsidRPr="00A13E4B">
        <w:rPr>
          <w:rFonts w:ascii="Times New Roman" w:hAnsi="Times New Roman" w:cs="Times New Roman"/>
          <w:color w:val="auto"/>
        </w:rPr>
        <w:t xml:space="preserve"> 2018</w:t>
      </w:r>
      <w:r w:rsidR="00A13E4B" w:rsidRPr="00A13E4B">
        <w:rPr>
          <w:rFonts w:ascii="Times New Roman" w:hAnsi="Times New Roman" w:cs="Times New Roman"/>
          <w:color w:val="auto"/>
        </w:rPr>
        <w:t xml:space="preserve"> </w:t>
      </w:r>
      <w:r w:rsidRPr="00A13E4B">
        <w:rPr>
          <w:rFonts w:ascii="Times New Roman" w:hAnsi="Times New Roman" w:cs="Times New Roman"/>
          <w:color w:val="auto"/>
        </w:rPr>
        <w:t>р</w:t>
      </w:r>
      <w:r w:rsidR="00A13E4B" w:rsidRPr="00A13E4B">
        <w:rPr>
          <w:rFonts w:ascii="Times New Roman" w:hAnsi="Times New Roman" w:cs="Times New Roman"/>
          <w:color w:val="auto"/>
        </w:rPr>
        <w:t>ік.</w:t>
      </w:r>
    </w:p>
    <w:p w:rsidR="00050DB5" w:rsidRPr="00A13E4B" w:rsidRDefault="00050DB5" w:rsidP="007A1FD0">
      <w:pPr>
        <w:spacing w:after="0" w:line="276" w:lineRule="auto"/>
        <w:ind w:firstLine="567"/>
        <w:jc w:val="both"/>
        <w:rPr>
          <w:rFonts w:ascii="Times New Roman" w:hAnsi="Times New Roman" w:cs="Times New Roman"/>
          <w:sz w:val="26"/>
          <w:szCs w:val="26"/>
        </w:rPr>
      </w:pPr>
    </w:p>
    <w:p w:rsidR="007F1BBD" w:rsidRPr="00A13E4B" w:rsidRDefault="007F1BBD" w:rsidP="007A1FD0">
      <w:pPr>
        <w:spacing w:after="0" w:line="276" w:lineRule="auto"/>
        <w:ind w:firstLine="567"/>
        <w:jc w:val="both"/>
        <w:rPr>
          <w:rFonts w:ascii="Times New Roman" w:eastAsia="Times New Roman" w:hAnsi="Times New Roman" w:cs="Times New Roman"/>
          <w:sz w:val="26"/>
          <w:szCs w:val="26"/>
          <w:lang w:eastAsia="ru-RU"/>
        </w:rPr>
      </w:pPr>
      <w:r w:rsidRPr="00A13E4B">
        <w:rPr>
          <w:rFonts w:ascii="Times New Roman" w:hAnsi="Times New Roman" w:cs="Times New Roman"/>
          <w:sz w:val="26"/>
          <w:szCs w:val="26"/>
        </w:rPr>
        <w:t xml:space="preserve">Звіт про управління </w:t>
      </w:r>
      <w:r w:rsidR="00050DB5" w:rsidRPr="00A13E4B">
        <w:rPr>
          <w:rFonts w:ascii="Times New Roman" w:hAnsi="Times New Roman" w:cs="Times New Roman"/>
          <w:sz w:val="26"/>
          <w:szCs w:val="26"/>
        </w:rPr>
        <w:t>ПАТ "Київський завод "Радар"</w:t>
      </w:r>
      <w:r w:rsidR="00917FBD">
        <w:rPr>
          <w:rFonts w:ascii="Times New Roman" w:hAnsi="Times New Roman" w:cs="Times New Roman"/>
          <w:sz w:val="26"/>
          <w:szCs w:val="26"/>
        </w:rPr>
        <w:t xml:space="preserve"> –</w:t>
      </w:r>
      <w:r w:rsidR="00050DB5" w:rsidRPr="00A13E4B">
        <w:rPr>
          <w:rFonts w:ascii="Times New Roman" w:hAnsi="Times New Roman" w:cs="Times New Roman"/>
          <w:sz w:val="26"/>
          <w:szCs w:val="26"/>
        </w:rPr>
        <w:t xml:space="preserve"> </w:t>
      </w:r>
      <w:r w:rsidRPr="00A13E4B">
        <w:rPr>
          <w:rFonts w:ascii="Times New Roman" w:hAnsi="Times New Roman" w:cs="Times New Roman"/>
          <w:sz w:val="26"/>
          <w:szCs w:val="26"/>
        </w:rPr>
        <w:t xml:space="preserve">підготовлено відповідно до </w:t>
      </w:r>
      <w:r w:rsidRPr="00A13E4B">
        <w:rPr>
          <w:rFonts w:ascii="Times New Roman" w:eastAsia="Times New Roman" w:hAnsi="Times New Roman" w:cs="Times New Roman"/>
          <w:sz w:val="26"/>
          <w:szCs w:val="26"/>
          <w:lang w:eastAsia="ru-RU"/>
        </w:rPr>
        <w:t xml:space="preserve">Закону України «Про бухгалтерський облік та фінансову звітність в Україні» від </w:t>
      </w:r>
      <w:r w:rsidR="00917FBD">
        <w:rPr>
          <w:rFonts w:ascii="Times New Roman" w:eastAsia="Times New Roman" w:hAnsi="Times New Roman" w:cs="Times New Roman"/>
          <w:sz w:val="26"/>
          <w:szCs w:val="26"/>
          <w:lang w:eastAsia="ru-RU"/>
        </w:rPr>
        <w:t>16.07.1999 р. та</w:t>
      </w:r>
      <w:r w:rsidRPr="00A13E4B">
        <w:rPr>
          <w:rFonts w:ascii="Times New Roman" w:eastAsia="Times New Roman" w:hAnsi="Times New Roman" w:cs="Times New Roman"/>
          <w:sz w:val="26"/>
          <w:szCs w:val="26"/>
          <w:lang w:eastAsia="ru-RU"/>
        </w:rPr>
        <w:t xml:space="preserve"> Методичних рекомендацій зі складання звіту про управління, затвердженого Наказом Міністерства фінансів України від 07.12.2018 р. №982</w:t>
      </w:r>
    </w:p>
    <w:p w:rsidR="009D0D25" w:rsidRPr="00A13E4B" w:rsidRDefault="009D0D25" w:rsidP="007A1FD0">
      <w:pPr>
        <w:spacing w:after="0" w:line="276" w:lineRule="auto"/>
        <w:ind w:firstLine="567"/>
        <w:jc w:val="both"/>
        <w:rPr>
          <w:rFonts w:ascii="Times New Roman" w:eastAsia="Times New Roman" w:hAnsi="Times New Roman" w:cs="Times New Roman"/>
          <w:sz w:val="26"/>
          <w:szCs w:val="26"/>
          <w:lang w:eastAsia="ru-RU"/>
        </w:rPr>
      </w:pPr>
    </w:p>
    <w:p w:rsidR="00A13E4B" w:rsidRPr="009D0D25" w:rsidRDefault="006A3926" w:rsidP="009D0D25">
      <w:pPr>
        <w:pStyle w:val="a3"/>
        <w:numPr>
          <w:ilvl w:val="0"/>
          <w:numId w:val="4"/>
        </w:numPr>
        <w:spacing w:after="0" w:line="276" w:lineRule="auto"/>
        <w:ind w:left="1276" w:hanging="721"/>
        <w:jc w:val="both"/>
        <w:rPr>
          <w:rFonts w:ascii="Times New Roman" w:eastAsia="Times New Roman" w:hAnsi="Times New Roman" w:cs="Times New Roman"/>
          <w:b/>
          <w:sz w:val="26"/>
          <w:szCs w:val="26"/>
          <w:lang w:eastAsia="ru-RU"/>
        </w:rPr>
      </w:pPr>
      <w:r w:rsidRPr="00A13E4B">
        <w:rPr>
          <w:rFonts w:ascii="Times New Roman" w:eastAsia="Times New Roman" w:hAnsi="Times New Roman" w:cs="Times New Roman"/>
          <w:b/>
          <w:sz w:val="26"/>
          <w:szCs w:val="26"/>
          <w:lang w:eastAsia="ru-RU"/>
        </w:rPr>
        <w:t>Організаційна структура та опис діяльності</w:t>
      </w:r>
    </w:p>
    <w:p w:rsidR="00A13E4B" w:rsidRPr="00A13E4B" w:rsidRDefault="00A13E4B"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Метою діяльності </w:t>
      </w:r>
      <w:r w:rsidR="00917FBD" w:rsidRPr="00A13E4B">
        <w:rPr>
          <w:rFonts w:ascii="Times New Roman" w:hAnsi="Times New Roman" w:cs="Times New Roman"/>
          <w:sz w:val="26"/>
          <w:szCs w:val="26"/>
        </w:rPr>
        <w:t>ПАТ "Київський завод "Радар"</w:t>
      </w:r>
      <w:r w:rsidR="00917FBD">
        <w:rPr>
          <w:rFonts w:ascii="Times New Roman" w:hAnsi="Times New Roman" w:cs="Times New Roman"/>
          <w:sz w:val="26"/>
          <w:szCs w:val="26"/>
        </w:rPr>
        <w:t xml:space="preserve"> (далі – </w:t>
      </w:r>
      <w:r w:rsidRPr="00A13E4B">
        <w:rPr>
          <w:rFonts w:ascii="Times New Roman" w:hAnsi="Times New Roman" w:cs="Times New Roman"/>
          <w:sz w:val="26"/>
          <w:szCs w:val="26"/>
        </w:rPr>
        <w:t>Т</w:t>
      </w:r>
      <w:r w:rsidR="00917FBD">
        <w:rPr>
          <w:rFonts w:ascii="Times New Roman" w:hAnsi="Times New Roman" w:cs="Times New Roman"/>
          <w:sz w:val="26"/>
          <w:szCs w:val="26"/>
        </w:rPr>
        <w:t>овариство</w:t>
      </w:r>
      <w:r w:rsidR="00917FBD" w:rsidRPr="009D5C91">
        <w:rPr>
          <w:rFonts w:ascii="Times New Roman" w:hAnsi="Times New Roman" w:cs="Times New Roman"/>
          <w:sz w:val="26"/>
          <w:szCs w:val="26"/>
        </w:rPr>
        <w:t>)</w:t>
      </w:r>
      <w:r w:rsidRPr="009D5C91">
        <w:rPr>
          <w:rFonts w:ascii="Times New Roman" w:hAnsi="Times New Roman" w:cs="Times New Roman"/>
          <w:sz w:val="26"/>
          <w:szCs w:val="26"/>
        </w:rPr>
        <w:t xml:space="preserve"> є одержання прибутку в інтересах акціонерів Товариства, максимізаці</w:t>
      </w:r>
      <w:r w:rsidR="009D5C91" w:rsidRPr="009D5C91">
        <w:rPr>
          <w:rFonts w:ascii="Times New Roman" w:hAnsi="Times New Roman" w:cs="Times New Roman"/>
          <w:sz w:val="26"/>
          <w:szCs w:val="26"/>
        </w:rPr>
        <w:t>я</w:t>
      </w:r>
      <w:r w:rsidRPr="009D5C91">
        <w:rPr>
          <w:rFonts w:ascii="Times New Roman" w:hAnsi="Times New Roman" w:cs="Times New Roman"/>
          <w:sz w:val="26"/>
          <w:szCs w:val="26"/>
        </w:rPr>
        <w:t xml:space="preserve"> добробут</w:t>
      </w:r>
      <w:r w:rsidRPr="00A13E4B">
        <w:rPr>
          <w:rFonts w:ascii="Times New Roman" w:hAnsi="Times New Roman" w:cs="Times New Roman"/>
          <w:sz w:val="26"/>
          <w:szCs w:val="26"/>
        </w:rPr>
        <w:t>у акціонерів у вигляді зростання ринкової вартості акцій Товариства, а також отримання акціонерами дивідендів.</w:t>
      </w:r>
    </w:p>
    <w:p w:rsidR="00A13E4B" w:rsidRPr="00A13E4B" w:rsidRDefault="00A13E4B"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Установчим документом Товариства є Статут. Товариство у повному обсязі володіє, розпоряджається та користується належним йому майном.</w:t>
      </w:r>
    </w:p>
    <w:p w:rsidR="00A13E4B" w:rsidRPr="00A13E4B" w:rsidRDefault="00A13E4B"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Товариство планує здійснювати свою діяльність у відповідності до мети та предмету встановленої Статутом Товариства.</w:t>
      </w:r>
    </w:p>
    <w:p w:rsidR="006A3926" w:rsidRPr="00A13E4B" w:rsidRDefault="006A3926"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ПАТ "Київський завод "Радар"</w:t>
      </w:r>
      <w:r w:rsidR="004024D5">
        <w:rPr>
          <w:rFonts w:ascii="Times New Roman" w:hAnsi="Times New Roman" w:cs="Times New Roman"/>
          <w:sz w:val="26"/>
          <w:szCs w:val="26"/>
        </w:rPr>
        <w:t xml:space="preserve"> –</w:t>
      </w:r>
      <w:r w:rsidRPr="00A13E4B">
        <w:rPr>
          <w:rFonts w:ascii="Times New Roman" w:hAnsi="Times New Roman" w:cs="Times New Roman"/>
          <w:sz w:val="26"/>
          <w:szCs w:val="26"/>
        </w:rPr>
        <w:t xml:space="preserve"> одне з передових підприємств України, що спеціалізується на виробництві сучасного радіоелектронного і радіолокаційного обладнання для літаків і вертольотів. Висока репутація «Радар» </w:t>
      </w:r>
      <w:r w:rsidR="004024D5">
        <w:rPr>
          <w:rFonts w:ascii="Times New Roman" w:hAnsi="Times New Roman" w:cs="Times New Roman"/>
          <w:sz w:val="26"/>
          <w:szCs w:val="26"/>
        </w:rPr>
        <w:t>–</w:t>
      </w:r>
      <w:r w:rsidRPr="00A13E4B">
        <w:rPr>
          <w:rFonts w:ascii="Times New Roman" w:hAnsi="Times New Roman" w:cs="Times New Roman"/>
          <w:sz w:val="26"/>
          <w:szCs w:val="26"/>
        </w:rPr>
        <w:t xml:space="preserve"> це результат багаторічної успішної роботи колективу і надійність виробів, що випускаються.</w:t>
      </w:r>
    </w:p>
    <w:p w:rsidR="00EF567A" w:rsidRDefault="00050DB5" w:rsidP="007A1FD0">
      <w:pPr>
        <w:spacing w:after="0" w:line="276" w:lineRule="auto"/>
        <w:ind w:firstLine="567"/>
        <w:jc w:val="both"/>
        <w:rPr>
          <w:rFonts w:ascii="Times New Roman" w:hAnsi="Times New Roman" w:cs="Times New Roman"/>
          <w:bCs/>
          <w:color w:val="212121"/>
          <w:sz w:val="26"/>
          <w:szCs w:val="26"/>
        </w:rPr>
      </w:pPr>
      <w:r w:rsidRPr="00A13E4B">
        <w:rPr>
          <w:rFonts w:ascii="Times New Roman" w:eastAsia="Times New Roman" w:hAnsi="Times New Roman" w:cs="Times New Roman"/>
          <w:sz w:val="26"/>
          <w:szCs w:val="26"/>
          <w:lang w:eastAsia="ru-RU"/>
        </w:rPr>
        <w:t>Юридична адреса:</w:t>
      </w:r>
      <w:r w:rsidRPr="00A13E4B">
        <w:rPr>
          <w:rFonts w:ascii="Times New Roman" w:hAnsi="Times New Roman" w:cs="Times New Roman"/>
          <w:bCs/>
          <w:color w:val="212121"/>
          <w:sz w:val="26"/>
          <w:szCs w:val="26"/>
        </w:rPr>
        <w:t xml:space="preserve"> 03150, м. Київ, вул. Предславинська, 35; </w:t>
      </w:r>
    </w:p>
    <w:p w:rsidR="00050DB5" w:rsidRPr="00A13E4B" w:rsidRDefault="00050DB5" w:rsidP="007A1FD0">
      <w:pPr>
        <w:spacing w:after="0" w:line="276" w:lineRule="auto"/>
        <w:ind w:firstLine="567"/>
        <w:jc w:val="both"/>
        <w:rPr>
          <w:rFonts w:ascii="Times New Roman" w:hAnsi="Times New Roman" w:cs="Times New Roman"/>
          <w:sz w:val="26"/>
          <w:szCs w:val="26"/>
        </w:rPr>
      </w:pPr>
      <w:r w:rsidRPr="00A13E4B">
        <w:rPr>
          <w:rFonts w:ascii="Times New Roman" w:hAnsi="Times New Roman" w:cs="Times New Roman"/>
          <w:sz w:val="26"/>
          <w:szCs w:val="26"/>
        </w:rPr>
        <w:t>Код за ЄДРПОУ: 14307274</w:t>
      </w:r>
    </w:p>
    <w:p w:rsidR="0022579F" w:rsidRPr="00A13E4B" w:rsidRDefault="0022579F" w:rsidP="007A1FD0">
      <w:pPr>
        <w:pStyle w:val="a3"/>
        <w:numPr>
          <w:ilvl w:val="0"/>
          <w:numId w:val="2"/>
        </w:numPr>
        <w:spacing w:after="0" w:line="276" w:lineRule="auto"/>
        <w:ind w:left="0" w:firstLine="142"/>
        <w:jc w:val="both"/>
        <w:rPr>
          <w:rFonts w:ascii="Times New Roman" w:eastAsia="Times New Roman" w:hAnsi="Times New Roman" w:cs="Times New Roman"/>
          <w:sz w:val="26"/>
          <w:szCs w:val="26"/>
          <w:lang w:eastAsia="ru-RU"/>
        </w:rPr>
      </w:pPr>
      <w:r w:rsidRPr="00A13E4B">
        <w:rPr>
          <w:rFonts w:ascii="Times New Roman" w:eastAsia="Times New Roman" w:hAnsi="Times New Roman" w:cs="Times New Roman"/>
          <w:sz w:val="26"/>
          <w:szCs w:val="26"/>
          <w:lang w:eastAsia="ru-RU"/>
        </w:rPr>
        <w:t>Інструментальна фiлiя ПАТ «Київський завод «Радар</w:t>
      </w:r>
      <w:r w:rsidR="00260C0F">
        <w:rPr>
          <w:rFonts w:ascii="Times New Roman" w:eastAsia="Times New Roman" w:hAnsi="Times New Roman" w:cs="Times New Roman"/>
          <w:sz w:val="26"/>
          <w:szCs w:val="26"/>
          <w:lang w:eastAsia="ru-RU"/>
        </w:rPr>
        <w:t>» 25745273 03150, м. Київ, вул.</w:t>
      </w:r>
      <w:r w:rsidRPr="00A13E4B">
        <w:rPr>
          <w:rFonts w:ascii="Times New Roman" w:eastAsia="Times New Roman" w:hAnsi="Times New Roman" w:cs="Times New Roman"/>
          <w:sz w:val="26"/>
          <w:szCs w:val="26"/>
          <w:lang w:eastAsia="ru-RU"/>
        </w:rPr>
        <w:t xml:space="preserve"> </w:t>
      </w:r>
      <w:proofErr w:type="spellStart"/>
      <w:r w:rsidRPr="00A13E4B">
        <w:rPr>
          <w:rFonts w:ascii="Times New Roman" w:eastAsia="Times New Roman" w:hAnsi="Times New Roman" w:cs="Times New Roman"/>
          <w:sz w:val="26"/>
          <w:szCs w:val="26"/>
          <w:lang w:eastAsia="ru-RU"/>
        </w:rPr>
        <w:t>Предславинська</w:t>
      </w:r>
      <w:proofErr w:type="spellEnd"/>
      <w:r w:rsidRPr="00A13E4B">
        <w:rPr>
          <w:rFonts w:ascii="Times New Roman" w:eastAsia="Times New Roman" w:hAnsi="Times New Roman" w:cs="Times New Roman"/>
          <w:sz w:val="26"/>
          <w:szCs w:val="26"/>
          <w:lang w:eastAsia="ru-RU"/>
        </w:rPr>
        <w:t xml:space="preserve">, 35 </w:t>
      </w:r>
      <w:r w:rsidR="00260C0F">
        <w:rPr>
          <w:rFonts w:ascii="Times New Roman" w:eastAsia="Times New Roman" w:hAnsi="Times New Roman" w:cs="Times New Roman"/>
          <w:sz w:val="26"/>
          <w:szCs w:val="26"/>
          <w:lang w:eastAsia="ru-RU"/>
        </w:rPr>
        <w:t>–</w:t>
      </w:r>
      <w:r w:rsidRPr="00A13E4B">
        <w:rPr>
          <w:rFonts w:ascii="Times New Roman" w:eastAsia="Times New Roman" w:hAnsi="Times New Roman" w:cs="Times New Roman"/>
          <w:sz w:val="26"/>
          <w:szCs w:val="26"/>
          <w:lang w:eastAsia="ru-RU"/>
        </w:rPr>
        <w:t xml:space="preserve"> Структурний </w:t>
      </w:r>
      <w:proofErr w:type="spellStart"/>
      <w:r w:rsidRPr="00A13E4B">
        <w:rPr>
          <w:rFonts w:ascii="Times New Roman" w:eastAsia="Times New Roman" w:hAnsi="Times New Roman" w:cs="Times New Roman"/>
          <w:sz w:val="26"/>
          <w:szCs w:val="26"/>
          <w:lang w:eastAsia="ru-RU"/>
        </w:rPr>
        <w:t>пiдроздiл</w:t>
      </w:r>
      <w:proofErr w:type="spellEnd"/>
    </w:p>
    <w:p w:rsidR="0022579F" w:rsidRPr="00A13E4B" w:rsidRDefault="0022579F" w:rsidP="007A1FD0">
      <w:pPr>
        <w:pStyle w:val="a3"/>
        <w:numPr>
          <w:ilvl w:val="0"/>
          <w:numId w:val="2"/>
        </w:numPr>
        <w:spacing w:after="0" w:line="276" w:lineRule="auto"/>
        <w:ind w:left="0" w:firstLine="142"/>
        <w:jc w:val="both"/>
        <w:rPr>
          <w:rFonts w:ascii="Times New Roman" w:eastAsia="Times New Roman" w:hAnsi="Times New Roman" w:cs="Times New Roman"/>
          <w:sz w:val="26"/>
          <w:szCs w:val="26"/>
          <w:lang w:eastAsia="ru-RU"/>
        </w:rPr>
      </w:pPr>
      <w:r w:rsidRPr="00A13E4B">
        <w:rPr>
          <w:rFonts w:ascii="Times New Roman" w:eastAsia="Times New Roman" w:hAnsi="Times New Roman" w:cs="Times New Roman"/>
          <w:sz w:val="26"/>
          <w:szCs w:val="26"/>
          <w:lang w:eastAsia="ru-RU"/>
        </w:rPr>
        <w:t xml:space="preserve">Фiлiя №6 ( Механiчне виробництво №2) ПАТ «Київський завод «Радар» 26267953 03150, м. Київ, вул.. </w:t>
      </w:r>
      <w:proofErr w:type="spellStart"/>
      <w:r w:rsidRPr="00A13E4B">
        <w:rPr>
          <w:rFonts w:ascii="Times New Roman" w:eastAsia="Times New Roman" w:hAnsi="Times New Roman" w:cs="Times New Roman"/>
          <w:sz w:val="26"/>
          <w:szCs w:val="26"/>
          <w:lang w:eastAsia="ru-RU"/>
        </w:rPr>
        <w:t>Предславинська</w:t>
      </w:r>
      <w:proofErr w:type="spellEnd"/>
      <w:r w:rsidRPr="00A13E4B">
        <w:rPr>
          <w:rFonts w:ascii="Times New Roman" w:eastAsia="Times New Roman" w:hAnsi="Times New Roman" w:cs="Times New Roman"/>
          <w:sz w:val="26"/>
          <w:szCs w:val="26"/>
          <w:lang w:eastAsia="ru-RU"/>
        </w:rPr>
        <w:t xml:space="preserve">, 35 </w:t>
      </w:r>
      <w:r w:rsidR="00260C0F">
        <w:rPr>
          <w:rFonts w:ascii="Times New Roman" w:eastAsia="Times New Roman" w:hAnsi="Times New Roman" w:cs="Times New Roman"/>
          <w:sz w:val="26"/>
          <w:szCs w:val="26"/>
          <w:lang w:eastAsia="ru-RU"/>
        </w:rPr>
        <w:t>–</w:t>
      </w:r>
      <w:r w:rsidRPr="00A13E4B">
        <w:rPr>
          <w:rFonts w:ascii="Times New Roman" w:eastAsia="Times New Roman" w:hAnsi="Times New Roman" w:cs="Times New Roman"/>
          <w:sz w:val="26"/>
          <w:szCs w:val="26"/>
          <w:lang w:eastAsia="ru-RU"/>
        </w:rPr>
        <w:t xml:space="preserve"> Структурний </w:t>
      </w:r>
      <w:proofErr w:type="spellStart"/>
      <w:r w:rsidRPr="00A13E4B">
        <w:rPr>
          <w:rFonts w:ascii="Times New Roman" w:eastAsia="Times New Roman" w:hAnsi="Times New Roman" w:cs="Times New Roman"/>
          <w:sz w:val="26"/>
          <w:szCs w:val="26"/>
          <w:lang w:eastAsia="ru-RU"/>
        </w:rPr>
        <w:t>пiдроздiл</w:t>
      </w:r>
      <w:proofErr w:type="spellEnd"/>
    </w:p>
    <w:p w:rsidR="0022579F" w:rsidRPr="00A13E4B" w:rsidRDefault="0022579F" w:rsidP="007A1FD0">
      <w:pPr>
        <w:pStyle w:val="a3"/>
        <w:numPr>
          <w:ilvl w:val="0"/>
          <w:numId w:val="2"/>
        </w:numPr>
        <w:spacing w:after="0" w:line="276" w:lineRule="auto"/>
        <w:ind w:left="0" w:firstLine="142"/>
        <w:jc w:val="both"/>
        <w:rPr>
          <w:rFonts w:ascii="Times New Roman" w:eastAsia="Times New Roman" w:hAnsi="Times New Roman" w:cs="Times New Roman"/>
          <w:sz w:val="26"/>
          <w:szCs w:val="26"/>
          <w:lang w:eastAsia="ru-RU"/>
        </w:rPr>
      </w:pPr>
      <w:r w:rsidRPr="00A13E4B">
        <w:rPr>
          <w:rFonts w:ascii="Times New Roman" w:eastAsia="Times New Roman" w:hAnsi="Times New Roman" w:cs="Times New Roman"/>
          <w:sz w:val="26"/>
          <w:szCs w:val="26"/>
          <w:lang w:eastAsia="ru-RU"/>
        </w:rPr>
        <w:t xml:space="preserve">Структурний пiдроздiл Торговельний центр «Радар» ПАТ «Київський завод «Радар», 24738590 03150, м. Київ, вул.. </w:t>
      </w:r>
      <w:proofErr w:type="spellStart"/>
      <w:r w:rsidRPr="00A13E4B">
        <w:rPr>
          <w:rFonts w:ascii="Times New Roman" w:eastAsia="Times New Roman" w:hAnsi="Times New Roman" w:cs="Times New Roman"/>
          <w:sz w:val="26"/>
          <w:szCs w:val="26"/>
          <w:lang w:eastAsia="ru-RU"/>
        </w:rPr>
        <w:t>Тельмана</w:t>
      </w:r>
      <w:proofErr w:type="spellEnd"/>
      <w:r w:rsidRPr="00A13E4B">
        <w:rPr>
          <w:rFonts w:ascii="Times New Roman" w:eastAsia="Times New Roman" w:hAnsi="Times New Roman" w:cs="Times New Roman"/>
          <w:sz w:val="26"/>
          <w:szCs w:val="26"/>
          <w:lang w:eastAsia="ru-RU"/>
        </w:rPr>
        <w:t xml:space="preserve">, 1 </w:t>
      </w:r>
      <w:r w:rsidR="00260C0F">
        <w:rPr>
          <w:rFonts w:ascii="Times New Roman" w:eastAsia="Times New Roman" w:hAnsi="Times New Roman" w:cs="Times New Roman"/>
          <w:sz w:val="26"/>
          <w:szCs w:val="26"/>
          <w:lang w:eastAsia="ru-RU"/>
        </w:rPr>
        <w:t>–</w:t>
      </w:r>
      <w:r w:rsidRPr="00A13E4B">
        <w:rPr>
          <w:rFonts w:ascii="Times New Roman" w:eastAsia="Times New Roman" w:hAnsi="Times New Roman" w:cs="Times New Roman"/>
          <w:sz w:val="26"/>
          <w:szCs w:val="26"/>
          <w:lang w:eastAsia="ru-RU"/>
        </w:rPr>
        <w:t xml:space="preserve"> Структурний </w:t>
      </w:r>
      <w:proofErr w:type="spellStart"/>
      <w:r w:rsidRPr="00A13E4B">
        <w:rPr>
          <w:rFonts w:ascii="Times New Roman" w:eastAsia="Times New Roman" w:hAnsi="Times New Roman" w:cs="Times New Roman"/>
          <w:sz w:val="26"/>
          <w:szCs w:val="26"/>
          <w:lang w:eastAsia="ru-RU"/>
        </w:rPr>
        <w:t>пiдроздiл</w:t>
      </w:r>
      <w:proofErr w:type="spellEnd"/>
    </w:p>
    <w:p w:rsidR="0022579F" w:rsidRPr="00A13E4B" w:rsidRDefault="0022579F" w:rsidP="007A1FD0">
      <w:pPr>
        <w:pStyle w:val="a3"/>
        <w:numPr>
          <w:ilvl w:val="0"/>
          <w:numId w:val="2"/>
        </w:numPr>
        <w:spacing w:after="0" w:line="276" w:lineRule="auto"/>
        <w:ind w:left="0" w:firstLine="142"/>
        <w:jc w:val="both"/>
        <w:rPr>
          <w:rFonts w:ascii="Times New Roman" w:eastAsia="Times New Roman" w:hAnsi="Times New Roman" w:cs="Times New Roman"/>
          <w:sz w:val="26"/>
          <w:szCs w:val="26"/>
          <w:lang w:eastAsia="ru-RU"/>
        </w:rPr>
      </w:pPr>
      <w:r w:rsidRPr="00A13E4B">
        <w:rPr>
          <w:rFonts w:ascii="Times New Roman" w:eastAsia="Times New Roman" w:hAnsi="Times New Roman" w:cs="Times New Roman"/>
          <w:sz w:val="26"/>
          <w:szCs w:val="26"/>
          <w:lang w:eastAsia="ru-RU"/>
        </w:rPr>
        <w:t xml:space="preserve">Дитячий заклад оздоровлення та вiдпочинку санаторного типу «Дружний» Публiчного акцiонерного товариства «Київський завод «Радар» 25297254 Київська область, м. Iрпiнь, вул. </w:t>
      </w:r>
      <w:proofErr w:type="spellStart"/>
      <w:r w:rsidRPr="00A13E4B">
        <w:rPr>
          <w:rFonts w:ascii="Times New Roman" w:eastAsia="Times New Roman" w:hAnsi="Times New Roman" w:cs="Times New Roman"/>
          <w:sz w:val="26"/>
          <w:szCs w:val="26"/>
          <w:lang w:eastAsia="ru-RU"/>
        </w:rPr>
        <w:t>Комiнтерна</w:t>
      </w:r>
      <w:proofErr w:type="spellEnd"/>
      <w:r w:rsidRPr="00A13E4B">
        <w:rPr>
          <w:rFonts w:ascii="Times New Roman" w:eastAsia="Times New Roman" w:hAnsi="Times New Roman" w:cs="Times New Roman"/>
          <w:sz w:val="26"/>
          <w:szCs w:val="26"/>
          <w:lang w:eastAsia="ru-RU"/>
        </w:rPr>
        <w:t xml:space="preserve">, 48 </w:t>
      </w:r>
      <w:r w:rsidR="00260C0F">
        <w:rPr>
          <w:rFonts w:ascii="Times New Roman" w:eastAsia="Times New Roman" w:hAnsi="Times New Roman" w:cs="Times New Roman"/>
          <w:sz w:val="26"/>
          <w:szCs w:val="26"/>
          <w:lang w:eastAsia="ru-RU"/>
        </w:rPr>
        <w:t>–</w:t>
      </w:r>
      <w:r w:rsidRPr="00A13E4B">
        <w:rPr>
          <w:rFonts w:ascii="Times New Roman" w:eastAsia="Times New Roman" w:hAnsi="Times New Roman" w:cs="Times New Roman"/>
          <w:sz w:val="26"/>
          <w:szCs w:val="26"/>
          <w:lang w:eastAsia="ru-RU"/>
        </w:rPr>
        <w:t xml:space="preserve"> Структурний </w:t>
      </w:r>
      <w:proofErr w:type="spellStart"/>
      <w:r w:rsidRPr="00A13E4B">
        <w:rPr>
          <w:rFonts w:ascii="Times New Roman" w:eastAsia="Times New Roman" w:hAnsi="Times New Roman" w:cs="Times New Roman"/>
          <w:sz w:val="26"/>
          <w:szCs w:val="26"/>
          <w:lang w:eastAsia="ru-RU"/>
        </w:rPr>
        <w:t>пiдроздiл</w:t>
      </w:r>
      <w:proofErr w:type="spellEnd"/>
    </w:p>
    <w:p w:rsidR="0022579F" w:rsidRPr="00A13E4B" w:rsidRDefault="0022579F" w:rsidP="007A1FD0">
      <w:pPr>
        <w:pStyle w:val="a3"/>
        <w:numPr>
          <w:ilvl w:val="0"/>
          <w:numId w:val="2"/>
        </w:numPr>
        <w:spacing w:after="0" w:line="276" w:lineRule="auto"/>
        <w:ind w:left="0" w:firstLine="142"/>
        <w:jc w:val="both"/>
        <w:rPr>
          <w:rFonts w:ascii="Times New Roman" w:eastAsia="Times New Roman" w:hAnsi="Times New Roman" w:cs="Times New Roman"/>
          <w:sz w:val="26"/>
          <w:szCs w:val="26"/>
          <w:lang w:eastAsia="ru-RU"/>
        </w:rPr>
      </w:pPr>
      <w:r w:rsidRPr="00A13E4B">
        <w:rPr>
          <w:rFonts w:ascii="Times New Roman" w:eastAsia="Times New Roman" w:hAnsi="Times New Roman" w:cs="Times New Roman"/>
          <w:sz w:val="26"/>
          <w:szCs w:val="26"/>
          <w:lang w:eastAsia="ru-RU"/>
        </w:rPr>
        <w:t xml:space="preserve">Структурний пiдроздiл Медико-санiтарна частина ПАТ «Київський завод «Радар» 02063816 03150, м. Київ, вул.. </w:t>
      </w:r>
      <w:proofErr w:type="spellStart"/>
      <w:r w:rsidRPr="00A13E4B">
        <w:rPr>
          <w:rFonts w:ascii="Times New Roman" w:eastAsia="Times New Roman" w:hAnsi="Times New Roman" w:cs="Times New Roman"/>
          <w:sz w:val="26"/>
          <w:szCs w:val="26"/>
          <w:lang w:eastAsia="ru-RU"/>
        </w:rPr>
        <w:t>Предславинська</w:t>
      </w:r>
      <w:proofErr w:type="spellEnd"/>
      <w:r w:rsidRPr="00A13E4B">
        <w:rPr>
          <w:rFonts w:ascii="Times New Roman" w:eastAsia="Times New Roman" w:hAnsi="Times New Roman" w:cs="Times New Roman"/>
          <w:sz w:val="26"/>
          <w:szCs w:val="26"/>
          <w:lang w:eastAsia="ru-RU"/>
        </w:rPr>
        <w:t xml:space="preserve">, 35 </w:t>
      </w:r>
      <w:r w:rsidR="00260C0F">
        <w:rPr>
          <w:rFonts w:ascii="Times New Roman" w:eastAsia="Times New Roman" w:hAnsi="Times New Roman" w:cs="Times New Roman"/>
          <w:sz w:val="26"/>
          <w:szCs w:val="26"/>
          <w:lang w:eastAsia="ru-RU"/>
        </w:rPr>
        <w:t>–</w:t>
      </w:r>
      <w:r w:rsidRPr="00A13E4B">
        <w:rPr>
          <w:rFonts w:ascii="Times New Roman" w:eastAsia="Times New Roman" w:hAnsi="Times New Roman" w:cs="Times New Roman"/>
          <w:sz w:val="26"/>
          <w:szCs w:val="26"/>
          <w:lang w:eastAsia="ru-RU"/>
        </w:rPr>
        <w:t xml:space="preserve"> Структурний </w:t>
      </w:r>
      <w:proofErr w:type="spellStart"/>
      <w:r w:rsidRPr="00A13E4B">
        <w:rPr>
          <w:rFonts w:ascii="Times New Roman" w:eastAsia="Times New Roman" w:hAnsi="Times New Roman" w:cs="Times New Roman"/>
          <w:sz w:val="26"/>
          <w:szCs w:val="26"/>
          <w:lang w:eastAsia="ru-RU"/>
        </w:rPr>
        <w:t>пiдроздiл</w:t>
      </w:r>
      <w:proofErr w:type="spellEnd"/>
    </w:p>
    <w:p w:rsidR="0022579F" w:rsidRPr="00A13E4B" w:rsidRDefault="0022579F" w:rsidP="007A1FD0">
      <w:pPr>
        <w:pStyle w:val="a3"/>
        <w:numPr>
          <w:ilvl w:val="0"/>
          <w:numId w:val="2"/>
        </w:numPr>
        <w:spacing w:after="0" w:line="276" w:lineRule="auto"/>
        <w:jc w:val="both"/>
        <w:rPr>
          <w:rFonts w:ascii="Times New Roman" w:eastAsia="Times New Roman" w:hAnsi="Times New Roman" w:cs="Times New Roman"/>
          <w:sz w:val="26"/>
          <w:szCs w:val="26"/>
          <w:lang w:eastAsia="ru-RU"/>
        </w:rPr>
      </w:pPr>
      <w:proofErr w:type="spellStart"/>
      <w:r w:rsidRPr="00A13E4B">
        <w:rPr>
          <w:rFonts w:ascii="Times New Roman" w:eastAsia="Times New Roman" w:hAnsi="Times New Roman" w:cs="Times New Roman"/>
          <w:sz w:val="26"/>
          <w:szCs w:val="26"/>
          <w:lang w:eastAsia="ru-RU"/>
        </w:rPr>
        <w:t>Дочiрнє</w:t>
      </w:r>
      <w:proofErr w:type="spellEnd"/>
      <w:r w:rsidRPr="00A13E4B">
        <w:rPr>
          <w:rFonts w:ascii="Times New Roman" w:eastAsia="Times New Roman" w:hAnsi="Times New Roman" w:cs="Times New Roman"/>
          <w:sz w:val="26"/>
          <w:szCs w:val="26"/>
          <w:lang w:eastAsia="ru-RU"/>
        </w:rPr>
        <w:t xml:space="preserve"> </w:t>
      </w:r>
      <w:proofErr w:type="spellStart"/>
      <w:r w:rsidRPr="00A13E4B">
        <w:rPr>
          <w:rFonts w:ascii="Times New Roman" w:eastAsia="Times New Roman" w:hAnsi="Times New Roman" w:cs="Times New Roman"/>
          <w:sz w:val="26"/>
          <w:szCs w:val="26"/>
          <w:lang w:eastAsia="ru-RU"/>
        </w:rPr>
        <w:t>пiдприємство</w:t>
      </w:r>
      <w:proofErr w:type="spellEnd"/>
      <w:r w:rsidRPr="00A13E4B">
        <w:rPr>
          <w:rFonts w:ascii="Times New Roman" w:eastAsia="Times New Roman" w:hAnsi="Times New Roman" w:cs="Times New Roman"/>
          <w:sz w:val="26"/>
          <w:szCs w:val="26"/>
          <w:lang w:eastAsia="ru-RU"/>
        </w:rPr>
        <w:t xml:space="preserve"> «</w:t>
      </w:r>
      <w:proofErr w:type="spellStart"/>
      <w:r w:rsidRPr="00A13E4B">
        <w:rPr>
          <w:rFonts w:ascii="Times New Roman" w:eastAsia="Times New Roman" w:hAnsi="Times New Roman" w:cs="Times New Roman"/>
          <w:sz w:val="26"/>
          <w:szCs w:val="26"/>
          <w:lang w:eastAsia="ru-RU"/>
        </w:rPr>
        <w:t>Гальванотехнiка</w:t>
      </w:r>
      <w:proofErr w:type="spellEnd"/>
      <w:r w:rsidRPr="00A13E4B">
        <w:rPr>
          <w:rFonts w:ascii="Times New Roman" w:eastAsia="Times New Roman" w:hAnsi="Times New Roman" w:cs="Times New Roman"/>
          <w:sz w:val="26"/>
          <w:szCs w:val="26"/>
          <w:lang w:eastAsia="ru-RU"/>
        </w:rPr>
        <w:t xml:space="preserve">» ПАТ «Київський завод «Радар» 33151394 03150, м. Київ, вул.. </w:t>
      </w:r>
      <w:proofErr w:type="spellStart"/>
      <w:r w:rsidRPr="00A13E4B">
        <w:rPr>
          <w:rFonts w:ascii="Times New Roman" w:eastAsia="Times New Roman" w:hAnsi="Times New Roman" w:cs="Times New Roman"/>
          <w:sz w:val="26"/>
          <w:szCs w:val="26"/>
          <w:lang w:eastAsia="ru-RU"/>
        </w:rPr>
        <w:t>Предславинська</w:t>
      </w:r>
      <w:proofErr w:type="spellEnd"/>
      <w:r w:rsidRPr="00A13E4B">
        <w:rPr>
          <w:rFonts w:ascii="Times New Roman" w:eastAsia="Times New Roman" w:hAnsi="Times New Roman" w:cs="Times New Roman"/>
          <w:sz w:val="26"/>
          <w:szCs w:val="26"/>
          <w:lang w:eastAsia="ru-RU"/>
        </w:rPr>
        <w:t xml:space="preserve">, 35 </w:t>
      </w:r>
      <w:r w:rsidR="00260C0F">
        <w:rPr>
          <w:rFonts w:ascii="Times New Roman" w:eastAsia="Times New Roman" w:hAnsi="Times New Roman" w:cs="Times New Roman"/>
          <w:sz w:val="26"/>
          <w:szCs w:val="26"/>
          <w:lang w:eastAsia="ru-RU"/>
        </w:rPr>
        <w:t>–</w:t>
      </w:r>
      <w:r w:rsidRPr="00A13E4B">
        <w:rPr>
          <w:rFonts w:ascii="Times New Roman" w:eastAsia="Times New Roman" w:hAnsi="Times New Roman" w:cs="Times New Roman"/>
          <w:sz w:val="26"/>
          <w:szCs w:val="26"/>
          <w:lang w:eastAsia="ru-RU"/>
        </w:rPr>
        <w:t xml:space="preserve"> </w:t>
      </w:r>
      <w:proofErr w:type="spellStart"/>
      <w:r w:rsidRPr="00A13E4B">
        <w:rPr>
          <w:rFonts w:ascii="Times New Roman" w:eastAsia="Times New Roman" w:hAnsi="Times New Roman" w:cs="Times New Roman"/>
          <w:sz w:val="26"/>
          <w:szCs w:val="26"/>
          <w:lang w:eastAsia="ru-RU"/>
        </w:rPr>
        <w:t>Дочiрнє</w:t>
      </w:r>
      <w:proofErr w:type="spellEnd"/>
      <w:r w:rsidRPr="00A13E4B">
        <w:rPr>
          <w:rFonts w:ascii="Times New Roman" w:eastAsia="Times New Roman" w:hAnsi="Times New Roman" w:cs="Times New Roman"/>
          <w:sz w:val="26"/>
          <w:szCs w:val="26"/>
          <w:lang w:eastAsia="ru-RU"/>
        </w:rPr>
        <w:t xml:space="preserve"> </w:t>
      </w:r>
      <w:proofErr w:type="spellStart"/>
      <w:r w:rsidRPr="00A13E4B">
        <w:rPr>
          <w:rFonts w:ascii="Times New Roman" w:eastAsia="Times New Roman" w:hAnsi="Times New Roman" w:cs="Times New Roman"/>
          <w:sz w:val="26"/>
          <w:szCs w:val="26"/>
          <w:lang w:eastAsia="ru-RU"/>
        </w:rPr>
        <w:t>пiдприємство</w:t>
      </w:r>
      <w:proofErr w:type="spellEnd"/>
    </w:p>
    <w:p w:rsidR="00C402F9" w:rsidRPr="00A13E4B" w:rsidRDefault="00C402F9" w:rsidP="007A1FD0">
      <w:pPr>
        <w:pStyle w:val="a3"/>
        <w:spacing w:after="0" w:line="276" w:lineRule="auto"/>
        <w:ind w:left="360" w:firstLine="567"/>
        <w:jc w:val="both"/>
        <w:rPr>
          <w:rFonts w:ascii="Times New Roman" w:eastAsia="Times New Roman" w:hAnsi="Times New Roman" w:cs="Times New Roman"/>
          <w:sz w:val="26"/>
          <w:szCs w:val="26"/>
          <w:lang w:eastAsia="ru-RU"/>
        </w:rPr>
      </w:pPr>
    </w:p>
    <w:p w:rsidR="00394570" w:rsidRPr="00A13E4B" w:rsidRDefault="004464B3"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sz w:val="26"/>
          <w:szCs w:val="26"/>
        </w:rPr>
        <w:lastRenderedPageBreak/>
        <w:t>В даний час завод здійснює виробництво та ремонт метеонавігаційних РЛС «Буран-А» (для літаків АН-140, АН-148, АН-74ТК-300, БЕ-200, ІЛ-114), бортовий навігаційно</w:t>
      </w:r>
      <w:r w:rsidR="00260C0F">
        <w:rPr>
          <w:rFonts w:ascii="Times New Roman" w:hAnsi="Times New Roman" w:cs="Times New Roman"/>
          <w:sz w:val="26"/>
          <w:szCs w:val="26"/>
        </w:rPr>
        <w:t>-посадкової апаратури «Курс-93М</w:t>
      </w:r>
      <w:r w:rsidRPr="00A13E4B">
        <w:rPr>
          <w:rFonts w:ascii="Times New Roman" w:hAnsi="Times New Roman" w:cs="Times New Roman"/>
          <w:sz w:val="26"/>
          <w:szCs w:val="26"/>
        </w:rPr>
        <w:t>»</w:t>
      </w:r>
      <w:r w:rsidR="00260C0F">
        <w:rPr>
          <w:rFonts w:ascii="Times New Roman" w:hAnsi="Times New Roman" w:cs="Times New Roman"/>
          <w:sz w:val="26"/>
          <w:szCs w:val="26"/>
        </w:rPr>
        <w:t xml:space="preserve"> </w:t>
      </w:r>
      <w:r w:rsidRPr="00A13E4B">
        <w:rPr>
          <w:rFonts w:ascii="Times New Roman" w:hAnsi="Times New Roman" w:cs="Times New Roman"/>
          <w:sz w:val="26"/>
          <w:szCs w:val="26"/>
        </w:rPr>
        <w:t>(для АН</w:t>
      </w:r>
      <w:r w:rsidR="00260C0F">
        <w:rPr>
          <w:rFonts w:ascii="Times New Roman" w:hAnsi="Times New Roman" w:cs="Times New Roman"/>
          <w:sz w:val="26"/>
          <w:szCs w:val="26"/>
        </w:rPr>
        <w:t>-140, МІГ-29, МІ-8), МНРЛС-85, «Гроза», «Буран</w:t>
      </w:r>
      <w:r w:rsidRPr="00A13E4B">
        <w:rPr>
          <w:rFonts w:ascii="Times New Roman" w:hAnsi="Times New Roman" w:cs="Times New Roman"/>
          <w:sz w:val="26"/>
          <w:szCs w:val="26"/>
        </w:rPr>
        <w:t>»</w:t>
      </w:r>
      <w:r w:rsidR="00260C0F">
        <w:rPr>
          <w:rFonts w:ascii="Times New Roman" w:hAnsi="Times New Roman" w:cs="Times New Roman"/>
          <w:sz w:val="26"/>
          <w:szCs w:val="26"/>
        </w:rPr>
        <w:t xml:space="preserve"> </w:t>
      </w:r>
      <w:r w:rsidRPr="00A13E4B">
        <w:rPr>
          <w:rFonts w:ascii="Times New Roman" w:hAnsi="Times New Roman" w:cs="Times New Roman"/>
          <w:sz w:val="26"/>
          <w:szCs w:val="26"/>
        </w:rPr>
        <w:t>(для літаків ТУ, АН, ІЛ різних типів), головок самонаведення 9Б 1101К (для ракет Р27Р</w:t>
      </w:r>
      <w:r w:rsidR="00260C0F">
        <w:rPr>
          <w:rFonts w:ascii="Times New Roman" w:hAnsi="Times New Roman" w:cs="Times New Roman"/>
          <w:sz w:val="26"/>
          <w:szCs w:val="26"/>
        </w:rPr>
        <w:t>1 «повітря повітря</w:t>
      </w:r>
      <w:r w:rsidRPr="00A13E4B">
        <w:rPr>
          <w:rFonts w:ascii="Times New Roman" w:hAnsi="Times New Roman" w:cs="Times New Roman"/>
          <w:sz w:val="26"/>
          <w:szCs w:val="26"/>
        </w:rPr>
        <w:t>»), прицільно-навігаційних комплексів ПНС-24М (для СУ-24),</w:t>
      </w:r>
      <w:r w:rsidR="00260C0F">
        <w:rPr>
          <w:rFonts w:ascii="Times New Roman" w:hAnsi="Times New Roman" w:cs="Times New Roman"/>
          <w:sz w:val="26"/>
          <w:szCs w:val="26"/>
        </w:rPr>
        <w:t xml:space="preserve"> «</w:t>
      </w:r>
      <w:r w:rsidRPr="00A13E4B">
        <w:rPr>
          <w:rFonts w:ascii="Times New Roman" w:hAnsi="Times New Roman" w:cs="Times New Roman"/>
          <w:sz w:val="26"/>
          <w:szCs w:val="26"/>
        </w:rPr>
        <w:t>Восьминіг»</w:t>
      </w:r>
      <w:r w:rsidR="0091075D" w:rsidRPr="00A13E4B">
        <w:rPr>
          <w:rFonts w:ascii="Times New Roman" w:hAnsi="Times New Roman" w:cs="Times New Roman"/>
          <w:sz w:val="26"/>
          <w:szCs w:val="26"/>
        </w:rPr>
        <w:t xml:space="preserve"> </w:t>
      </w:r>
      <w:r w:rsidRPr="00A13E4B">
        <w:rPr>
          <w:rFonts w:ascii="Times New Roman" w:hAnsi="Times New Roman" w:cs="Times New Roman"/>
          <w:sz w:val="26"/>
          <w:szCs w:val="26"/>
        </w:rPr>
        <w:t>(для КА-27, КА-28), систем держрозпізнавання 6231Р (для СУ-27, МІГ-29).</w:t>
      </w:r>
      <w:r w:rsidR="00B4510C" w:rsidRPr="00A13E4B">
        <w:rPr>
          <w:rFonts w:ascii="Times New Roman" w:hAnsi="Times New Roman" w:cs="Times New Roman"/>
          <w:sz w:val="26"/>
          <w:szCs w:val="26"/>
        </w:rPr>
        <w:t xml:space="preserve"> </w:t>
      </w:r>
      <w:r w:rsidRPr="00A13E4B">
        <w:rPr>
          <w:rFonts w:ascii="Times New Roman" w:hAnsi="Times New Roman" w:cs="Times New Roman"/>
          <w:sz w:val="26"/>
          <w:szCs w:val="26"/>
        </w:rPr>
        <w:t>На заводі розроблені, сертифіковані і випускаються медичні електродрилі та пилки, пластини для малоінвазивного остеосинтезу, оригінальні слухомовні тренажери «Поліфонатор», та ін.</w:t>
      </w:r>
    </w:p>
    <w:p w:rsidR="00B4510C" w:rsidRPr="00A13E4B" w:rsidRDefault="004464B3"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sz w:val="26"/>
          <w:szCs w:val="26"/>
        </w:rPr>
        <w:t>Заводом випускаються побутові газові опалювальні котли і автоматика безпеки до них, а також промислові магістральні регулятори РДГ-50, РДГ-80.</w:t>
      </w:r>
    </w:p>
    <w:p w:rsidR="006A3926" w:rsidRPr="00A13E4B" w:rsidRDefault="004464B3"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sz w:val="26"/>
          <w:szCs w:val="26"/>
        </w:rPr>
        <w:t>На заводі налагоджено серійний випуск побутових електроплит зі склокерамічною робочою поверхнею і виготовляється ряд комплектуючих виробів для автомобілі</w:t>
      </w:r>
      <w:r w:rsidR="00F2698E" w:rsidRPr="00A13E4B">
        <w:rPr>
          <w:rFonts w:ascii="Times New Roman" w:hAnsi="Times New Roman" w:cs="Times New Roman"/>
          <w:sz w:val="26"/>
          <w:szCs w:val="26"/>
        </w:rPr>
        <w:t>в (датчиків рівня і тиску рідин та інше</w:t>
      </w:r>
      <w:r w:rsidRPr="00A13E4B">
        <w:rPr>
          <w:rFonts w:ascii="Times New Roman" w:hAnsi="Times New Roman" w:cs="Times New Roman"/>
          <w:sz w:val="26"/>
          <w:szCs w:val="26"/>
        </w:rPr>
        <w:t>).</w:t>
      </w:r>
    </w:p>
    <w:p w:rsidR="00B4510C" w:rsidRPr="00A13E4B" w:rsidRDefault="00B4510C"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sz w:val="26"/>
          <w:szCs w:val="26"/>
        </w:rPr>
        <w:t>Завод має в своєму розпорядженні висококваліфіковани</w:t>
      </w:r>
      <w:r w:rsidR="00C402F9" w:rsidRPr="00A13E4B">
        <w:rPr>
          <w:rFonts w:ascii="Times New Roman" w:hAnsi="Times New Roman" w:cs="Times New Roman"/>
          <w:sz w:val="26"/>
          <w:szCs w:val="26"/>
        </w:rPr>
        <w:t>х</w:t>
      </w:r>
      <w:r w:rsidRPr="00A13E4B">
        <w:rPr>
          <w:rFonts w:ascii="Times New Roman" w:hAnsi="Times New Roman" w:cs="Times New Roman"/>
          <w:sz w:val="26"/>
          <w:szCs w:val="26"/>
        </w:rPr>
        <w:t xml:space="preserve"> фахівц</w:t>
      </w:r>
      <w:r w:rsidR="00C402F9" w:rsidRPr="00A13E4B">
        <w:rPr>
          <w:rFonts w:ascii="Times New Roman" w:hAnsi="Times New Roman" w:cs="Times New Roman"/>
          <w:sz w:val="26"/>
          <w:szCs w:val="26"/>
        </w:rPr>
        <w:t>ів</w:t>
      </w:r>
      <w:r w:rsidRPr="00A13E4B">
        <w:rPr>
          <w:rFonts w:ascii="Times New Roman" w:hAnsi="Times New Roman" w:cs="Times New Roman"/>
          <w:sz w:val="26"/>
          <w:szCs w:val="26"/>
        </w:rPr>
        <w:t>, а також повним виробничо-технологічним циклом, який включає:</w:t>
      </w:r>
    </w:p>
    <w:p w:rsidR="00B4510C" w:rsidRPr="00A13E4B" w:rsidRDefault="00B4510C" w:rsidP="007A1FD0">
      <w:pPr>
        <w:pStyle w:val="a3"/>
        <w:numPr>
          <w:ilvl w:val="0"/>
          <w:numId w:val="1"/>
        </w:numPr>
        <w:spacing w:line="276" w:lineRule="auto"/>
        <w:ind w:right="141"/>
        <w:jc w:val="both"/>
        <w:rPr>
          <w:rFonts w:ascii="Times New Roman" w:hAnsi="Times New Roman" w:cs="Times New Roman"/>
          <w:sz w:val="26"/>
          <w:szCs w:val="26"/>
        </w:rPr>
      </w:pPr>
      <w:r w:rsidRPr="00A13E4B">
        <w:rPr>
          <w:rFonts w:ascii="Times New Roman" w:hAnsi="Times New Roman" w:cs="Times New Roman"/>
          <w:sz w:val="26"/>
          <w:szCs w:val="26"/>
        </w:rPr>
        <w:t>виготовлення, в тому числі налаштування і контроль пристроїв;</w:t>
      </w:r>
    </w:p>
    <w:p w:rsidR="00B4510C" w:rsidRPr="00A13E4B" w:rsidRDefault="00B4510C" w:rsidP="007A1FD0">
      <w:pPr>
        <w:pStyle w:val="a3"/>
        <w:numPr>
          <w:ilvl w:val="0"/>
          <w:numId w:val="1"/>
        </w:numPr>
        <w:spacing w:line="276" w:lineRule="auto"/>
        <w:ind w:right="141"/>
        <w:jc w:val="both"/>
        <w:rPr>
          <w:rFonts w:ascii="Times New Roman" w:hAnsi="Times New Roman" w:cs="Times New Roman"/>
          <w:sz w:val="26"/>
          <w:szCs w:val="26"/>
        </w:rPr>
      </w:pPr>
      <w:r w:rsidRPr="00A13E4B">
        <w:rPr>
          <w:rFonts w:ascii="Times New Roman" w:hAnsi="Times New Roman" w:cs="Times New Roman"/>
          <w:sz w:val="26"/>
          <w:szCs w:val="26"/>
        </w:rPr>
        <w:t>точне лиття кольорових металів, пресування і лиття виробів із пластмас і гумових сумішей, штампування з листових матеріалів, всі види механічної обробки матеріалів, Електроерозійна обробка металів;</w:t>
      </w:r>
    </w:p>
    <w:p w:rsidR="00B4510C" w:rsidRPr="00A13E4B" w:rsidRDefault="00B4510C" w:rsidP="007A1FD0">
      <w:pPr>
        <w:pStyle w:val="a3"/>
        <w:numPr>
          <w:ilvl w:val="0"/>
          <w:numId w:val="1"/>
        </w:numPr>
        <w:spacing w:line="276" w:lineRule="auto"/>
        <w:ind w:right="141"/>
        <w:jc w:val="both"/>
        <w:rPr>
          <w:rFonts w:ascii="Times New Roman" w:hAnsi="Times New Roman" w:cs="Times New Roman"/>
          <w:sz w:val="26"/>
          <w:szCs w:val="26"/>
        </w:rPr>
      </w:pPr>
      <w:r w:rsidRPr="00A13E4B">
        <w:rPr>
          <w:rFonts w:ascii="Times New Roman" w:hAnsi="Times New Roman" w:cs="Times New Roman"/>
          <w:sz w:val="26"/>
          <w:szCs w:val="26"/>
        </w:rPr>
        <w:t>складальні та електромонтажні роботи, регулювання, кліматичні та вібраційні випробування радіоелектронної апаратури та приладів;</w:t>
      </w:r>
    </w:p>
    <w:p w:rsidR="006A3926" w:rsidRPr="00A13E4B" w:rsidRDefault="00B4510C" w:rsidP="007A1FD0">
      <w:pPr>
        <w:pStyle w:val="a3"/>
        <w:numPr>
          <w:ilvl w:val="0"/>
          <w:numId w:val="1"/>
        </w:numPr>
        <w:spacing w:line="276" w:lineRule="auto"/>
        <w:ind w:right="141"/>
        <w:jc w:val="both"/>
        <w:rPr>
          <w:rFonts w:ascii="Times New Roman" w:hAnsi="Times New Roman" w:cs="Times New Roman"/>
          <w:sz w:val="26"/>
          <w:szCs w:val="26"/>
        </w:rPr>
      </w:pPr>
      <w:r w:rsidRPr="00A13E4B">
        <w:rPr>
          <w:rFonts w:ascii="Times New Roman" w:hAnsi="Times New Roman" w:cs="Times New Roman"/>
          <w:sz w:val="26"/>
          <w:szCs w:val="26"/>
        </w:rPr>
        <w:t>виготовлення та проектування технологічної оснастки та інструменту.</w:t>
      </w:r>
    </w:p>
    <w:p w:rsidR="003873FA" w:rsidRPr="00A13E4B" w:rsidRDefault="003873FA" w:rsidP="007A1FD0">
      <w:pPr>
        <w:pStyle w:val="a3"/>
        <w:spacing w:line="276" w:lineRule="auto"/>
        <w:ind w:left="360" w:right="141" w:firstLine="567"/>
        <w:jc w:val="both"/>
        <w:rPr>
          <w:rFonts w:ascii="Times New Roman" w:hAnsi="Times New Roman" w:cs="Times New Roman"/>
          <w:sz w:val="26"/>
          <w:szCs w:val="26"/>
        </w:rPr>
      </w:pPr>
    </w:p>
    <w:p w:rsidR="003873FA" w:rsidRPr="00A13E4B" w:rsidRDefault="003873FA"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Організаційну структуру підрозділів підприємства </w:t>
      </w:r>
      <w:r w:rsidR="009D5C91" w:rsidRPr="009D5C91">
        <w:rPr>
          <w:rFonts w:ascii="Times New Roman" w:hAnsi="Times New Roman" w:cs="Times New Roman"/>
          <w:sz w:val="26"/>
          <w:szCs w:val="26"/>
        </w:rPr>
        <w:t>відображено</w:t>
      </w:r>
      <w:r w:rsidRPr="009D5C91">
        <w:rPr>
          <w:rFonts w:ascii="Times New Roman" w:hAnsi="Times New Roman" w:cs="Times New Roman"/>
          <w:color w:val="FF0000"/>
          <w:sz w:val="26"/>
          <w:szCs w:val="26"/>
        </w:rPr>
        <w:t xml:space="preserve"> </w:t>
      </w:r>
      <w:r w:rsidRPr="00A13E4B">
        <w:rPr>
          <w:rFonts w:ascii="Times New Roman" w:hAnsi="Times New Roman" w:cs="Times New Roman"/>
          <w:sz w:val="26"/>
          <w:szCs w:val="26"/>
        </w:rPr>
        <w:t>на Схемі підпорядкування структурних підрозділів публічного акціонерного товариства «Київський завод «Радар»</w:t>
      </w:r>
      <w:r w:rsidR="00A13E4B" w:rsidRPr="00A13E4B">
        <w:rPr>
          <w:rFonts w:ascii="Times New Roman" w:hAnsi="Times New Roman" w:cs="Times New Roman"/>
          <w:sz w:val="26"/>
          <w:szCs w:val="26"/>
        </w:rPr>
        <w:t xml:space="preserve"> Додаток 1.</w:t>
      </w:r>
    </w:p>
    <w:p w:rsidR="006A3926" w:rsidRPr="00A13E4B" w:rsidRDefault="006A3926" w:rsidP="007A1FD0">
      <w:pPr>
        <w:pStyle w:val="a3"/>
        <w:spacing w:line="276" w:lineRule="auto"/>
        <w:ind w:left="360" w:right="141" w:firstLine="567"/>
        <w:jc w:val="both"/>
        <w:rPr>
          <w:rFonts w:ascii="Times New Roman" w:hAnsi="Times New Roman" w:cs="Times New Roman"/>
          <w:b/>
          <w:sz w:val="26"/>
          <w:szCs w:val="26"/>
        </w:rPr>
      </w:pPr>
    </w:p>
    <w:p w:rsidR="006A3926" w:rsidRPr="00A13E4B" w:rsidRDefault="006A3926" w:rsidP="007A1FD0">
      <w:pPr>
        <w:pStyle w:val="a3"/>
        <w:spacing w:line="276" w:lineRule="auto"/>
        <w:ind w:left="360" w:right="141" w:firstLine="567"/>
        <w:jc w:val="both"/>
        <w:rPr>
          <w:rFonts w:ascii="Times New Roman" w:hAnsi="Times New Roman" w:cs="Times New Roman"/>
          <w:b/>
          <w:sz w:val="26"/>
          <w:szCs w:val="26"/>
        </w:rPr>
      </w:pPr>
    </w:p>
    <w:p w:rsidR="003873FA" w:rsidRPr="007A1FD0" w:rsidRDefault="006A3926" w:rsidP="007A1FD0">
      <w:pPr>
        <w:pStyle w:val="a3"/>
        <w:numPr>
          <w:ilvl w:val="0"/>
          <w:numId w:val="4"/>
        </w:numPr>
        <w:spacing w:line="276" w:lineRule="auto"/>
        <w:ind w:left="0" w:right="141" w:firstLine="567"/>
        <w:jc w:val="both"/>
        <w:rPr>
          <w:rFonts w:ascii="Times New Roman" w:hAnsi="Times New Roman" w:cs="Times New Roman"/>
          <w:sz w:val="26"/>
          <w:szCs w:val="26"/>
        </w:rPr>
      </w:pPr>
      <w:r w:rsidRPr="00A13E4B">
        <w:rPr>
          <w:rFonts w:ascii="Times New Roman" w:hAnsi="Times New Roman" w:cs="Times New Roman"/>
          <w:b/>
          <w:sz w:val="26"/>
          <w:szCs w:val="26"/>
        </w:rPr>
        <w:t>Результати діяльності</w:t>
      </w:r>
    </w:p>
    <w:p w:rsidR="009C7548" w:rsidRPr="00A13E4B" w:rsidRDefault="003873FA"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Фінансова звітність Товариства </w:t>
      </w:r>
      <w:r w:rsidR="009C7548" w:rsidRPr="00A13E4B">
        <w:rPr>
          <w:rFonts w:ascii="Times New Roman" w:hAnsi="Times New Roman" w:cs="Times New Roman"/>
          <w:sz w:val="26"/>
          <w:szCs w:val="26"/>
        </w:rPr>
        <w:t>відображає</w:t>
      </w:r>
      <w:r w:rsidR="009D5C91">
        <w:rPr>
          <w:rFonts w:ascii="Times New Roman" w:hAnsi="Times New Roman" w:cs="Times New Roman"/>
          <w:sz w:val="26"/>
          <w:szCs w:val="26"/>
        </w:rPr>
        <w:t xml:space="preserve"> </w:t>
      </w:r>
      <w:r w:rsidR="009D5C91" w:rsidRPr="009D5C91">
        <w:rPr>
          <w:rFonts w:ascii="Times New Roman" w:hAnsi="Times New Roman" w:cs="Times New Roman"/>
          <w:sz w:val="26"/>
          <w:szCs w:val="26"/>
        </w:rPr>
        <w:t>фінансо</w:t>
      </w:r>
      <w:r w:rsidR="009D5C91">
        <w:rPr>
          <w:rFonts w:ascii="Times New Roman" w:hAnsi="Times New Roman" w:cs="Times New Roman"/>
          <w:sz w:val="26"/>
          <w:szCs w:val="26"/>
        </w:rPr>
        <w:t xml:space="preserve">вий стан, результати діяльності, </w:t>
      </w:r>
      <w:r w:rsidR="009D5C91" w:rsidRPr="009D5C91">
        <w:rPr>
          <w:rFonts w:ascii="Times New Roman" w:hAnsi="Times New Roman" w:cs="Times New Roman"/>
          <w:sz w:val="26"/>
          <w:szCs w:val="26"/>
        </w:rPr>
        <w:t>рух грошових коштів</w:t>
      </w:r>
      <w:r w:rsidR="009D5C91">
        <w:rPr>
          <w:rFonts w:ascii="Times New Roman" w:hAnsi="Times New Roman" w:cs="Times New Roman"/>
          <w:sz w:val="26"/>
          <w:szCs w:val="26"/>
        </w:rPr>
        <w:t>, а також зміни у власному капіталі</w:t>
      </w:r>
      <w:r w:rsidRPr="00A13E4B">
        <w:rPr>
          <w:rFonts w:ascii="Times New Roman" w:hAnsi="Times New Roman" w:cs="Times New Roman"/>
          <w:sz w:val="26"/>
          <w:szCs w:val="26"/>
        </w:rPr>
        <w:t xml:space="preserve">. </w:t>
      </w:r>
    </w:p>
    <w:p w:rsidR="003873FA" w:rsidRPr="00A13E4B" w:rsidRDefault="003873FA"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sz w:val="26"/>
          <w:szCs w:val="26"/>
        </w:rPr>
        <w:t>Метою фінансової звітності є надання інформації про фінансовий стан, фінансові результати діяльності та рух грошових коштів Товариства, корисної для широкого кола користувачів при прийнятті економічних рішень. Фінансова звітність також показує результати управління ресурсами, довіреними керівництву Товариства.</w:t>
      </w:r>
    </w:p>
    <w:p w:rsidR="003873FA" w:rsidRPr="00A13E4B" w:rsidRDefault="003873FA" w:rsidP="007A1FD0">
      <w:pPr>
        <w:spacing w:after="0"/>
        <w:ind w:firstLine="567"/>
        <w:jc w:val="both"/>
        <w:rPr>
          <w:rFonts w:ascii="Times New Roman" w:hAnsi="Times New Roman" w:cs="Times New Roman"/>
          <w:sz w:val="26"/>
          <w:szCs w:val="26"/>
        </w:rPr>
      </w:pPr>
      <w:r w:rsidRPr="00A13E4B">
        <w:rPr>
          <w:rFonts w:ascii="Times New Roman" w:hAnsi="Times New Roman" w:cs="Times New Roman"/>
          <w:sz w:val="26"/>
          <w:szCs w:val="26"/>
        </w:rPr>
        <w:t>Основними джерелами діяльності Товариства є власні та залучені кошти.</w:t>
      </w:r>
    </w:p>
    <w:p w:rsidR="003873FA" w:rsidRPr="00A13E4B" w:rsidRDefault="003873FA" w:rsidP="007A1FD0">
      <w:pPr>
        <w:spacing w:after="0"/>
        <w:ind w:firstLine="567"/>
        <w:jc w:val="both"/>
        <w:rPr>
          <w:rFonts w:ascii="Times New Roman" w:hAnsi="Times New Roman" w:cs="Times New Roman"/>
          <w:sz w:val="24"/>
          <w:szCs w:val="24"/>
        </w:rPr>
      </w:pPr>
    </w:p>
    <w:p w:rsidR="003873FA" w:rsidRPr="00A13E4B" w:rsidRDefault="003873FA" w:rsidP="007A1FD0">
      <w:pPr>
        <w:spacing w:after="0"/>
        <w:ind w:firstLine="567"/>
        <w:jc w:val="both"/>
        <w:rPr>
          <w:rFonts w:ascii="Times New Roman" w:hAnsi="Times New Roman" w:cs="Times New Roman"/>
          <w:sz w:val="26"/>
          <w:szCs w:val="26"/>
        </w:rPr>
      </w:pPr>
      <w:r w:rsidRPr="00A13E4B">
        <w:rPr>
          <w:rFonts w:ascii="Times New Roman" w:hAnsi="Times New Roman" w:cs="Times New Roman"/>
          <w:sz w:val="26"/>
          <w:szCs w:val="26"/>
        </w:rPr>
        <w:lastRenderedPageBreak/>
        <w:t xml:space="preserve">Чистий дохід від реалізації товарів робіт (послуг) Товариства </w:t>
      </w:r>
      <w:r w:rsidR="001A7F5D" w:rsidRPr="00A13E4B">
        <w:rPr>
          <w:rFonts w:ascii="Times New Roman" w:hAnsi="Times New Roman" w:cs="Times New Roman"/>
          <w:sz w:val="26"/>
          <w:szCs w:val="26"/>
        </w:rPr>
        <w:t>станом на 2018 рік</w:t>
      </w:r>
      <w:r w:rsidRPr="00A13E4B">
        <w:rPr>
          <w:rFonts w:ascii="Times New Roman" w:hAnsi="Times New Roman" w:cs="Times New Roman"/>
          <w:sz w:val="26"/>
          <w:szCs w:val="26"/>
        </w:rPr>
        <w:t xml:space="preserve"> становить 196</w:t>
      </w:r>
      <w:r w:rsidR="001A7F5D" w:rsidRPr="00A13E4B">
        <w:rPr>
          <w:rFonts w:ascii="Times New Roman" w:hAnsi="Times New Roman" w:cs="Times New Roman"/>
          <w:sz w:val="26"/>
          <w:szCs w:val="26"/>
        </w:rPr>
        <w:t> </w:t>
      </w:r>
      <w:r w:rsidRPr="00A13E4B">
        <w:rPr>
          <w:rFonts w:ascii="Times New Roman" w:hAnsi="Times New Roman" w:cs="Times New Roman"/>
          <w:sz w:val="26"/>
          <w:szCs w:val="26"/>
        </w:rPr>
        <w:t>323</w:t>
      </w:r>
      <w:r w:rsidR="001A7F5D" w:rsidRPr="00A13E4B">
        <w:rPr>
          <w:rFonts w:ascii="Times New Roman" w:hAnsi="Times New Roman" w:cs="Times New Roman"/>
          <w:sz w:val="26"/>
          <w:szCs w:val="26"/>
        </w:rPr>
        <w:t xml:space="preserve"> </w:t>
      </w:r>
      <w:r w:rsidRPr="00A13E4B">
        <w:rPr>
          <w:rFonts w:ascii="Times New Roman" w:hAnsi="Times New Roman" w:cs="Times New Roman"/>
          <w:sz w:val="26"/>
          <w:szCs w:val="26"/>
        </w:rPr>
        <w:t>тис. грн, що менше на 1.06% ніж за анало</w:t>
      </w:r>
      <w:r w:rsidR="001A7F5D" w:rsidRPr="00A13E4B">
        <w:rPr>
          <w:rFonts w:ascii="Times New Roman" w:hAnsi="Times New Roman" w:cs="Times New Roman"/>
          <w:sz w:val="26"/>
          <w:szCs w:val="26"/>
        </w:rPr>
        <w:t>гічний період попереднього року, що становив 208 333 тис. грн.</w:t>
      </w:r>
    </w:p>
    <w:p w:rsidR="003873FA" w:rsidRPr="00A13E4B" w:rsidRDefault="003873FA" w:rsidP="007A1FD0">
      <w:pPr>
        <w:spacing w:after="0"/>
        <w:ind w:firstLine="567"/>
        <w:jc w:val="both"/>
        <w:rPr>
          <w:rFonts w:ascii="Times New Roman" w:hAnsi="Times New Roman" w:cs="Times New Roman"/>
          <w:sz w:val="26"/>
          <w:szCs w:val="26"/>
        </w:rPr>
      </w:pPr>
      <w:r w:rsidRPr="00A13E4B">
        <w:rPr>
          <w:rFonts w:ascii="Times New Roman" w:hAnsi="Times New Roman" w:cs="Times New Roman"/>
          <w:sz w:val="26"/>
          <w:szCs w:val="26"/>
        </w:rPr>
        <w:t>Чистий прибуток за 2018 р. склав 20 674 тис.</w:t>
      </w:r>
      <w:r w:rsidR="009C7548" w:rsidRPr="00A13E4B">
        <w:rPr>
          <w:rFonts w:ascii="Times New Roman" w:hAnsi="Times New Roman" w:cs="Times New Roman"/>
          <w:sz w:val="26"/>
          <w:szCs w:val="26"/>
        </w:rPr>
        <w:t xml:space="preserve"> </w:t>
      </w:r>
      <w:r w:rsidRPr="00A13E4B">
        <w:rPr>
          <w:rFonts w:ascii="Times New Roman" w:hAnsi="Times New Roman" w:cs="Times New Roman"/>
          <w:sz w:val="26"/>
          <w:szCs w:val="26"/>
        </w:rPr>
        <w:t>грн.</w:t>
      </w:r>
      <w:r w:rsidR="009C7548" w:rsidRPr="00A13E4B">
        <w:rPr>
          <w:rFonts w:ascii="Times New Roman" w:hAnsi="Times New Roman" w:cs="Times New Roman"/>
          <w:sz w:val="26"/>
          <w:szCs w:val="26"/>
        </w:rPr>
        <w:t xml:space="preserve"> За аналогічний період попереднього року цей показник становив 9 289 тис. грн.</w:t>
      </w:r>
    </w:p>
    <w:p w:rsidR="003873FA" w:rsidRPr="00A13E4B" w:rsidRDefault="00F41D85" w:rsidP="007A1FD0">
      <w:pPr>
        <w:spacing w:after="0"/>
        <w:ind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Сукупний дохід за 2018 р. становить 20 674 </w:t>
      </w:r>
      <w:r w:rsidR="00035BCD" w:rsidRPr="00A13E4B">
        <w:rPr>
          <w:rFonts w:ascii="Times New Roman" w:hAnsi="Times New Roman" w:cs="Times New Roman"/>
          <w:sz w:val="26"/>
          <w:szCs w:val="26"/>
        </w:rPr>
        <w:t>тис.</w:t>
      </w:r>
      <w:r w:rsidR="00F2698E" w:rsidRPr="00A13E4B">
        <w:rPr>
          <w:rFonts w:ascii="Times New Roman" w:hAnsi="Times New Roman" w:cs="Times New Roman"/>
          <w:sz w:val="26"/>
          <w:szCs w:val="26"/>
        </w:rPr>
        <w:t xml:space="preserve"> </w:t>
      </w:r>
      <w:r w:rsidRPr="00A13E4B">
        <w:rPr>
          <w:rFonts w:ascii="Times New Roman" w:hAnsi="Times New Roman" w:cs="Times New Roman"/>
          <w:sz w:val="26"/>
          <w:szCs w:val="26"/>
        </w:rPr>
        <w:t>грн.</w:t>
      </w:r>
      <w:r w:rsidR="00035BCD" w:rsidRPr="00A13E4B">
        <w:rPr>
          <w:rFonts w:ascii="Times New Roman" w:hAnsi="Times New Roman" w:cs="Times New Roman"/>
          <w:sz w:val="26"/>
          <w:szCs w:val="26"/>
        </w:rPr>
        <w:t>, що у порівнянні з минулим періодом</w:t>
      </w:r>
      <w:r w:rsidR="001A7F5D" w:rsidRPr="00A13E4B">
        <w:rPr>
          <w:rFonts w:ascii="Times New Roman" w:hAnsi="Times New Roman" w:cs="Times New Roman"/>
          <w:sz w:val="26"/>
          <w:szCs w:val="26"/>
        </w:rPr>
        <w:t>, що становив 9 289 тис. грн.,</w:t>
      </w:r>
      <w:r w:rsidR="00035BCD" w:rsidRPr="00A13E4B">
        <w:rPr>
          <w:rFonts w:ascii="Times New Roman" w:hAnsi="Times New Roman" w:cs="Times New Roman"/>
          <w:sz w:val="26"/>
          <w:szCs w:val="26"/>
        </w:rPr>
        <w:t xml:space="preserve"> більше у 2.22 рази. Ріст цього показника спричинено ростом інших сукупних доходів на 55.9%.</w:t>
      </w:r>
      <w:r w:rsidRPr="00A13E4B">
        <w:rPr>
          <w:rFonts w:ascii="Times New Roman" w:hAnsi="Times New Roman" w:cs="Times New Roman"/>
          <w:sz w:val="26"/>
          <w:szCs w:val="26"/>
        </w:rPr>
        <w:t xml:space="preserve"> </w:t>
      </w:r>
      <w:r w:rsidR="00035BCD" w:rsidRPr="00A13E4B">
        <w:rPr>
          <w:rFonts w:ascii="Times New Roman" w:hAnsi="Times New Roman" w:cs="Times New Roman"/>
          <w:sz w:val="26"/>
          <w:szCs w:val="26"/>
        </w:rPr>
        <w:t xml:space="preserve">Динаміку зміни сукупного доходу у порівнянні з попереднім періодом </w:t>
      </w:r>
      <w:r w:rsidR="009B5B1F" w:rsidRPr="00A13E4B">
        <w:rPr>
          <w:rFonts w:ascii="Times New Roman" w:hAnsi="Times New Roman" w:cs="Times New Roman"/>
          <w:sz w:val="26"/>
          <w:szCs w:val="26"/>
        </w:rPr>
        <w:t>зображено</w:t>
      </w:r>
      <w:r w:rsidR="00035BCD" w:rsidRPr="00A13E4B">
        <w:rPr>
          <w:rFonts w:ascii="Times New Roman" w:hAnsi="Times New Roman" w:cs="Times New Roman"/>
          <w:sz w:val="26"/>
          <w:szCs w:val="26"/>
        </w:rPr>
        <w:t xml:space="preserve"> на діаграмі</w:t>
      </w:r>
      <w:r w:rsidR="00C722E2" w:rsidRPr="00A13E4B">
        <w:rPr>
          <w:rFonts w:ascii="Times New Roman" w:hAnsi="Times New Roman" w:cs="Times New Roman"/>
          <w:sz w:val="26"/>
          <w:szCs w:val="26"/>
        </w:rPr>
        <w:t xml:space="preserve"> (рис.</w:t>
      </w:r>
      <w:r w:rsidR="00A13E4B">
        <w:rPr>
          <w:rFonts w:ascii="Times New Roman" w:hAnsi="Times New Roman" w:cs="Times New Roman"/>
          <w:sz w:val="26"/>
          <w:szCs w:val="26"/>
        </w:rPr>
        <w:t>1</w:t>
      </w:r>
      <w:r w:rsidR="00C722E2" w:rsidRPr="00A13E4B">
        <w:rPr>
          <w:rFonts w:ascii="Times New Roman" w:hAnsi="Times New Roman" w:cs="Times New Roman"/>
          <w:sz w:val="26"/>
          <w:szCs w:val="26"/>
        </w:rPr>
        <w:t>)</w:t>
      </w:r>
      <w:r w:rsidR="00035BCD" w:rsidRPr="00A13E4B">
        <w:rPr>
          <w:rFonts w:ascii="Times New Roman" w:hAnsi="Times New Roman" w:cs="Times New Roman"/>
          <w:sz w:val="26"/>
          <w:szCs w:val="26"/>
        </w:rPr>
        <w:t>:</w:t>
      </w:r>
    </w:p>
    <w:p w:rsidR="00035BCD" w:rsidRPr="00A13E4B" w:rsidRDefault="00035BCD" w:rsidP="007A1FD0">
      <w:pPr>
        <w:spacing w:after="0"/>
        <w:ind w:firstLine="567"/>
        <w:jc w:val="both"/>
        <w:rPr>
          <w:rFonts w:ascii="Times New Roman" w:hAnsi="Times New Roman" w:cs="Times New Roman"/>
          <w:sz w:val="26"/>
          <w:szCs w:val="26"/>
        </w:rPr>
      </w:pPr>
    </w:p>
    <w:p w:rsidR="003D5AC8" w:rsidRPr="00A13E4B" w:rsidRDefault="00035BCD" w:rsidP="007A1FD0">
      <w:pPr>
        <w:spacing w:after="0"/>
        <w:ind w:firstLine="567"/>
        <w:jc w:val="both"/>
        <w:rPr>
          <w:rFonts w:ascii="Times New Roman" w:hAnsi="Times New Roman" w:cs="Times New Roman"/>
          <w:sz w:val="26"/>
          <w:szCs w:val="26"/>
        </w:rPr>
      </w:pPr>
      <w:r w:rsidRPr="00A13E4B">
        <w:rPr>
          <w:noProof/>
          <w:lang w:eastAsia="uk-UA"/>
        </w:rPr>
        <w:drawing>
          <wp:inline distT="0" distB="0" distL="0" distR="0" wp14:anchorId="6D277790" wp14:editId="1E22B48C">
            <wp:extent cx="5400675"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722E2" w:rsidRPr="00A13E4B" w:rsidRDefault="00C722E2" w:rsidP="007A1FD0">
      <w:pPr>
        <w:spacing w:after="0"/>
        <w:ind w:left="3686" w:firstLine="567"/>
        <w:jc w:val="both"/>
        <w:rPr>
          <w:rFonts w:ascii="Times New Roman" w:hAnsi="Times New Roman" w:cs="Times New Roman"/>
          <w:sz w:val="26"/>
          <w:szCs w:val="26"/>
        </w:rPr>
      </w:pPr>
      <w:r w:rsidRPr="00A13E4B">
        <w:rPr>
          <w:rFonts w:ascii="Times New Roman" w:hAnsi="Times New Roman" w:cs="Times New Roman"/>
          <w:sz w:val="26"/>
          <w:szCs w:val="26"/>
        </w:rPr>
        <w:t>(рис.</w:t>
      </w:r>
      <w:r w:rsidR="00A13E4B">
        <w:rPr>
          <w:rFonts w:ascii="Times New Roman" w:hAnsi="Times New Roman" w:cs="Times New Roman"/>
          <w:sz w:val="26"/>
          <w:szCs w:val="26"/>
        </w:rPr>
        <w:t>1</w:t>
      </w:r>
      <w:r w:rsidRPr="00A13E4B">
        <w:rPr>
          <w:rFonts w:ascii="Times New Roman" w:hAnsi="Times New Roman" w:cs="Times New Roman"/>
          <w:sz w:val="26"/>
          <w:szCs w:val="26"/>
        </w:rPr>
        <w:t>)</w:t>
      </w:r>
    </w:p>
    <w:p w:rsidR="00035BCD" w:rsidRPr="00A13E4B" w:rsidRDefault="00035BCD" w:rsidP="007A1FD0">
      <w:pPr>
        <w:spacing w:after="0"/>
        <w:ind w:firstLine="567"/>
        <w:jc w:val="both"/>
        <w:rPr>
          <w:rFonts w:ascii="Times New Roman" w:hAnsi="Times New Roman" w:cs="Times New Roman"/>
          <w:sz w:val="26"/>
          <w:szCs w:val="26"/>
        </w:rPr>
      </w:pPr>
    </w:p>
    <w:p w:rsidR="006246D6" w:rsidRPr="00A13E4B" w:rsidRDefault="00E57112" w:rsidP="007A1FD0">
      <w:pPr>
        <w:spacing w:after="0"/>
        <w:ind w:firstLine="567"/>
        <w:jc w:val="both"/>
        <w:rPr>
          <w:rFonts w:ascii="Times New Roman" w:hAnsi="Times New Roman" w:cs="Times New Roman"/>
          <w:sz w:val="26"/>
          <w:szCs w:val="26"/>
        </w:rPr>
      </w:pPr>
      <w:r w:rsidRPr="00A13E4B">
        <w:rPr>
          <w:rFonts w:ascii="Times New Roman" w:hAnsi="Times New Roman" w:cs="Times New Roman"/>
          <w:sz w:val="26"/>
          <w:szCs w:val="26"/>
        </w:rPr>
        <w:t>Операційні витрати за 2018 р. становлять 183 708 тис. грн.</w:t>
      </w:r>
      <w:r w:rsidR="00C722E2" w:rsidRPr="00A13E4B">
        <w:rPr>
          <w:rFonts w:ascii="Times New Roman" w:hAnsi="Times New Roman" w:cs="Times New Roman"/>
          <w:sz w:val="26"/>
          <w:szCs w:val="26"/>
        </w:rPr>
        <w:t>,</w:t>
      </w:r>
      <w:r w:rsidRPr="00A13E4B">
        <w:rPr>
          <w:rFonts w:ascii="Times New Roman" w:hAnsi="Times New Roman" w:cs="Times New Roman"/>
          <w:sz w:val="26"/>
          <w:szCs w:val="26"/>
        </w:rPr>
        <w:t xml:space="preserve"> </w:t>
      </w:r>
      <w:r w:rsidR="00C722E2" w:rsidRPr="00A13E4B">
        <w:rPr>
          <w:rFonts w:ascii="Times New Roman" w:hAnsi="Times New Roman" w:cs="Times New Roman"/>
          <w:sz w:val="26"/>
          <w:szCs w:val="26"/>
        </w:rPr>
        <w:t xml:space="preserve">що менше ніж за аналогічний період попереднього року. </w:t>
      </w:r>
    </w:p>
    <w:p w:rsidR="006246D6" w:rsidRPr="00A13E4B" w:rsidRDefault="006246D6" w:rsidP="007A1FD0">
      <w:pPr>
        <w:spacing w:after="0"/>
        <w:ind w:firstLine="567"/>
        <w:jc w:val="both"/>
        <w:rPr>
          <w:rFonts w:ascii="Times New Roman" w:hAnsi="Times New Roman" w:cs="Times New Roman"/>
          <w:sz w:val="26"/>
          <w:szCs w:val="26"/>
        </w:rPr>
      </w:pPr>
      <w:r w:rsidRPr="00A13E4B">
        <w:rPr>
          <w:rFonts w:ascii="Times New Roman" w:hAnsi="Times New Roman" w:cs="Times New Roman"/>
          <w:sz w:val="26"/>
          <w:szCs w:val="26"/>
        </w:rPr>
        <w:t>Ви</w:t>
      </w:r>
      <w:r w:rsidR="003C2B3B" w:rsidRPr="00A13E4B">
        <w:rPr>
          <w:rFonts w:ascii="Times New Roman" w:hAnsi="Times New Roman" w:cs="Times New Roman"/>
          <w:sz w:val="26"/>
          <w:szCs w:val="26"/>
        </w:rPr>
        <w:t>т</w:t>
      </w:r>
      <w:r w:rsidRPr="00A13E4B">
        <w:rPr>
          <w:rFonts w:ascii="Times New Roman" w:hAnsi="Times New Roman" w:cs="Times New Roman"/>
          <w:sz w:val="26"/>
          <w:szCs w:val="26"/>
        </w:rPr>
        <w:t>рати є найважливішим якісним показником, що відображає результати господарської діяльності підприємства, та інструментом оцінки техніко-економічного рівня виробництва і праці, ефективності управління тощо. Виступаючи початковою базою ціноутворення, витрати впливають на дохід, рівень рентабельності підприємства, а також на формування загальнодержавного бюджету. Витрати на виробництво і реалізацію продукції (робіт, послуг) складаються з виробничих витрат, нерозподілених постійних загальновиробничих витрат і наднормативних виробничих витрат.</w:t>
      </w:r>
    </w:p>
    <w:p w:rsidR="00035BCD" w:rsidRPr="00A13E4B" w:rsidRDefault="00C722E2" w:rsidP="007A1FD0">
      <w:pPr>
        <w:spacing w:after="0"/>
        <w:ind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Динаміку зміни цього показника та його елементи </w:t>
      </w:r>
      <w:r w:rsidR="009B5B1F" w:rsidRPr="00A13E4B">
        <w:rPr>
          <w:rFonts w:ascii="Times New Roman" w:hAnsi="Times New Roman" w:cs="Times New Roman"/>
          <w:sz w:val="26"/>
          <w:szCs w:val="26"/>
        </w:rPr>
        <w:t>зображено</w:t>
      </w:r>
      <w:r w:rsidRPr="00A13E4B">
        <w:rPr>
          <w:rFonts w:ascii="Times New Roman" w:hAnsi="Times New Roman" w:cs="Times New Roman"/>
          <w:sz w:val="26"/>
          <w:szCs w:val="26"/>
        </w:rPr>
        <w:t xml:space="preserve"> на діаграмах (рис. </w:t>
      </w:r>
      <w:r w:rsidR="00A13E4B">
        <w:rPr>
          <w:rFonts w:ascii="Times New Roman" w:hAnsi="Times New Roman" w:cs="Times New Roman"/>
          <w:sz w:val="26"/>
          <w:szCs w:val="26"/>
        </w:rPr>
        <w:t>2</w:t>
      </w:r>
      <w:r w:rsidRPr="00A13E4B">
        <w:rPr>
          <w:rFonts w:ascii="Times New Roman" w:hAnsi="Times New Roman" w:cs="Times New Roman"/>
          <w:sz w:val="26"/>
          <w:szCs w:val="26"/>
        </w:rPr>
        <w:t>, рис.</w:t>
      </w:r>
      <w:r w:rsidR="00A13E4B">
        <w:rPr>
          <w:rFonts w:ascii="Times New Roman" w:hAnsi="Times New Roman" w:cs="Times New Roman"/>
          <w:sz w:val="26"/>
          <w:szCs w:val="26"/>
        </w:rPr>
        <w:t>3</w:t>
      </w:r>
      <w:r w:rsidRPr="00A13E4B">
        <w:rPr>
          <w:rFonts w:ascii="Times New Roman" w:hAnsi="Times New Roman" w:cs="Times New Roman"/>
          <w:sz w:val="26"/>
          <w:szCs w:val="26"/>
        </w:rPr>
        <w:t>):</w:t>
      </w:r>
    </w:p>
    <w:p w:rsidR="00C722E2" w:rsidRPr="00A13E4B" w:rsidRDefault="00C722E2" w:rsidP="007A1FD0">
      <w:pPr>
        <w:spacing w:after="0"/>
        <w:ind w:firstLine="567"/>
        <w:jc w:val="both"/>
        <w:rPr>
          <w:rFonts w:ascii="Times New Roman" w:hAnsi="Times New Roman" w:cs="Times New Roman"/>
          <w:sz w:val="26"/>
          <w:szCs w:val="26"/>
        </w:rPr>
      </w:pPr>
    </w:p>
    <w:p w:rsidR="00035BCD" w:rsidRPr="00A13E4B" w:rsidRDefault="00C722E2" w:rsidP="007A1FD0">
      <w:pPr>
        <w:spacing w:after="0"/>
        <w:ind w:left="3969" w:hanging="3969"/>
        <w:jc w:val="both"/>
        <w:rPr>
          <w:rFonts w:ascii="Times New Roman" w:hAnsi="Times New Roman" w:cs="Times New Roman"/>
          <w:color w:val="FF0000"/>
          <w:sz w:val="26"/>
          <w:szCs w:val="26"/>
        </w:rPr>
      </w:pPr>
      <w:r w:rsidRPr="00A13E4B">
        <w:rPr>
          <w:noProof/>
          <w:lang w:eastAsia="uk-UA"/>
        </w:rPr>
        <w:lastRenderedPageBreak/>
        <w:drawing>
          <wp:inline distT="0" distB="0" distL="0" distR="0" wp14:anchorId="5CDE0FDB" wp14:editId="4E131CE6">
            <wp:extent cx="5609230" cy="3181350"/>
            <wp:effectExtent l="0" t="0" r="1079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A13E4B">
        <w:rPr>
          <w:rFonts w:ascii="Times New Roman" w:hAnsi="Times New Roman" w:cs="Times New Roman"/>
          <w:sz w:val="26"/>
          <w:szCs w:val="26"/>
        </w:rPr>
        <w:t xml:space="preserve">                                                   (рис.</w:t>
      </w:r>
      <w:r w:rsidR="00A13E4B">
        <w:rPr>
          <w:rFonts w:ascii="Times New Roman" w:hAnsi="Times New Roman" w:cs="Times New Roman"/>
          <w:sz w:val="26"/>
          <w:szCs w:val="26"/>
        </w:rPr>
        <w:t>2</w:t>
      </w:r>
      <w:r w:rsidRPr="00A13E4B">
        <w:rPr>
          <w:rFonts w:ascii="Times New Roman" w:hAnsi="Times New Roman" w:cs="Times New Roman"/>
          <w:sz w:val="26"/>
          <w:szCs w:val="26"/>
        </w:rPr>
        <w:t>)</w:t>
      </w:r>
    </w:p>
    <w:p w:rsidR="00BF7AC3" w:rsidRDefault="00BF7AC3" w:rsidP="007A1FD0">
      <w:pPr>
        <w:spacing w:after="0"/>
        <w:ind w:firstLine="567"/>
        <w:jc w:val="both"/>
        <w:rPr>
          <w:rFonts w:ascii="Times New Roman" w:hAnsi="Times New Roman" w:cs="Times New Roman"/>
          <w:sz w:val="26"/>
          <w:szCs w:val="26"/>
        </w:rPr>
      </w:pPr>
    </w:p>
    <w:p w:rsidR="003D5AC8" w:rsidRPr="00A13E4B" w:rsidRDefault="003D5AC8" w:rsidP="007A1FD0">
      <w:pPr>
        <w:spacing w:after="0"/>
        <w:ind w:left="2552" w:hanging="2552"/>
        <w:jc w:val="both"/>
        <w:rPr>
          <w:rFonts w:ascii="Times New Roman" w:hAnsi="Times New Roman" w:cs="Times New Roman"/>
          <w:sz w:val="26"/>
          <w:szCs w:val="26"/>
        </w:rPr>
      </w:pPr>
      <w:r>
        <w:rPr>
          <w:noProof/>
          <w:lang w:eastAsia="uk-UA"/>
        </w:rPr>
        <w:drawing>
          <wp:inline distT="0" distB="0" distL="0" distR="0" wp14:anchorId="353BC16E" wp14:editId="62E1BC50">
            <wp:extent cx="5618342" cy="3171464"/>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535" t="25583" r="13820" b="13526"/>
                    <a:stretch/>
                  </pic:blipFill>
                  <pic:spPr bwMode="auto">
                    <a:xfrm>
                      <a:off x="0" y="0"/>
                      <a:ext cx="5634214" cy="3180424"/>
                    </a:xfrm>
                    <a:prstGeom prst="rect">
                      <a:avLst/>
                    </a:prstGeom>
                    <a:ln>
                      <a:noFill/>
                    </a:ln>
                    <a:extLst>
                      <a:ext uri="{53640926-AAD7-44D8-BBD7-CCE9431645EC}">
                        <a14:shadowObscured xmlns:a14="http://schemas.microsoft.com/office/drawing/2010/main"/>
                      </a:ext>
                    </a:extLst>
                  </pic:spPr>
                </pic:pic>
              </a:graphicData>
            </a:graphic>
          </wp:inline>
        </w:drawing>
      </w:r>
    </w:p>
    <w:p w:rsidR="00C722E2" w:rsidRPr="00A13E4B" w:rsidRDefault="00C722E2" w:rsidP="007A1FD0">
      <w:pPr>
        <w:spacing w:after="0"/>
        <w:ind w:left="2694" w:firstLine="1275"/>
        <w:jc w:val="both"/>
        <w:rPr>
          <w:rFonts w:ascii="Times New Roman" w:hAnsi="Times New Roman" w:cs="Times New Roman"/>
          <w:sz w:val="26"/>
          <w:szCs w:val="26"/>
        </w:rPr>
      </w:pPr>
      <w:r w:rsidRPr="00A13E4B">
        <w:rPr>
          <w:rFonts w:ascii="Times New Roman" w:hAnsi="Times New Roman" w:cs="Times New Roman"/>
          <w:sz w:val="26"/>
          <w:szCs w:val="26"/>
        </w:rPr>
        <w:t xml:space="preserve">(рис. </w:t>
      </w:r>
      <w:r w:rsidR="00A13E4B">
        <w:rPr>
          <w:rFonts w:ascii="Times New Roman" w:hAnsi="Times New Roman" w:cs="Times New Roman"/>
          <w:sz w:val="26"/>
          <w:szCs w:val="26"/>
        </w:rPr>
        <w:t>3</w:t>
      </w:r>
      <w:r w:rsidRPr="00A13E4B">
        <w:rPr>
          <w:rFonts w:ascii="Times New Roman" w:hAnsi="Times New Roman" w:cs="Times New Roman"/>
          <w:sz w:val="26"/>
          <w:szCs w:val="26"/>
        </w:rPr>
        <w:t>)</w:t>
      </w:r>
    </w:p>
    <w:p w:rsidR="00BF7AC3" w:rsidRPr="00A13E4B" w:rsidRDefault="00BF7AC3" w:rsidP="007A1FD0">
      <w:pPr>
        <w:spacing w:after="0"/>
        <w:ind w:left="2835" w:firstLine="567"/>
        <w:jc w:val="both"/>
        <w:rPr>
          <w:rFonts w:ascii="Times New Roman" w:hAnsi="Times New Roman" w:cs="Times New Roman"/>
          <w:color w:val="FF0000"/>
          <w:sz w:val="26"/>
          <w:szCs w:val="26"/>
        </w:rPr>
      </w:pPr>
    </w:p>
    <w:p w:rsidR="00035BCD" w:rsidRPr="00A13E4B" w:rsidRDefault="00035BCD" w:rsidP="007A1FD0">
      <w:pPr>
        <w:spacing w:after="0"/>
        <w:ind w:firstLine="567"/>
        <w:jc w:val="both"/>
        <w:rPr>
          <w:rFonts w:ascii="Times New Roman" w:hAnsi="Times New Roman" w:cs="Times New Roman"/>
          <w:sz w:val="26"/>
          <w:szCs w:val="26"/>
        </w:rPr>
      </w:pPr>
    </w:p>
    <w:p w:rsidR="009B5B1F" w:rsidRPr="00A13E4B" w:rsidRDefault="006A3926" w:rsidP="007A1FD0">
      <w:pPr>
        <w:pStyle w:val="a3"/>
        <w:numPr>
          <w:ilvl w:val="0"/>
          <w:numId w:val="4"/>
        </w:numPr>
        <w:spacing w:line="276" w:lineRule="auto"/>
        <w:ind w:right="141" w:hanging="721"/>
        <w:jc w:val="both"/>
        <w:rPr>
          <w:rFonts w:ascii="Times New Roman" w:hAnsi="Times New Roman" w:cs="Times New Roman"/>
          <w:sz w:val="26"/>
          <w:szCs w:val="26"/>
        </w:rPr>
      </w:pPr>
      <w:r w:rsidRPr="00A13E4B">
        <w:rPr>
          <w:rFonts w:ascii="Times New Roman" w:hAnsi="Times New Roman" w:cs="Times New Roman"/>
          <w:b/>
          <w:sz w:val="26"/>
          <w:szCs w:val="26"/>
        </w:rPr>
        <w:t>Ліквідність та зобов’язання</w:t>
      </w:r>
    </w:p>
    <w:p w:rsidR="009B5B1F" w:rsidRPr="00A13E4B" w:rsidRDefault="009B5B1F"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Фінансовий стан підприємства прийнято оцінювати з короткострокової (ліквідності і платоспроможності) і довгострокової (фінансової стійкості) перспективи.</w:t>
      </w:r>
    </w:p>
    <w:p w:rsidR="009B5B1F" w:rsidRPr="00A13E4B" w:rsidRDefault="009B5B1F"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Ліквідність підприємства </w:t>
      </w:r>
      <w:r w:rsidR="00684E33" w:rsidRPr="00A13E4B">
        <w:rPr>
          <w:rFonts w:ascii="Times New Roman" w:hAnsi="Times New Roman" w:cs="Times New Roman"/>
          <w:sz w:val="26"/>
          <w:szCs w:val="26"/>
        </w:rPr>
        <w:t>–</w:t>
      </w:r>
      <w:r w:rsidRPr="00A13E4B">
        <w:rPr>
          <w:rFonts w:ascii="Times New Roman" w:hAnsi="Times New Roman" w:cs="Times New Roman"/>
          <w:sz w:val="26"/>
          <w:szCs w:val="26"/>
        </w:rPr>
        <w:t xml:space="preserve"> це його здатність швидко продати активи й одержати гроші для оплати своїх зобов</w:t>
      </w:r>
      <w:r w:rsidR="00684E33" w:rsidRPr="00A13E4B">
        <w:rPr>
          <w:rFonts w:ascii="Times New Roman" w:hAnsi="Times New Roman" w:cs="Times New Roman"/>
          <w:sz w:val="26"/>
          <w:szCs w:val="26"/>
        </w:rPr>
        <w:t>’</w:t>
      </w:r>
      <w:r w:rsidRPr="00A13E4B">
        <w:rPr>
          <w:rFonts w:ascii="Times New Roman" w:hAnsi="Times New Roman" w:cs="Times New Roman"/>
          <w:sz w:val="26"/>
          <w:szCs w:val="26"/>
        </w:rPr>
        <w:t>язань.</w:t>
      </w:r>
    </w:p>
    <w:p w:rsidR="009B5B1F" w:rsidRPr="00A13E4B" w:rsidRDefault="009B5B1F"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Ліквідність підприємства характеризується співвідношенням величини його високоліквідних активів (грошові кошти та їх еквіваленти, ринкові цінні папери, дебіторська заборгованість) і короткострокової заборгованості.</w:t>
      </w:r>
    </w:p>
    <w:p w:rsidR="009B5B1F" w:rsidRPr="00A13E4B" w:rsidRDefault="009B5B1F"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lastRenderedPageBreak/>
        <w:t>Про незадовільний стан ліквідності підприємства свідчитиме той факт, що потреба підприємства в коштах перевищує їх реальні надходження. Щоб визначити, чи достатньо у підприємства коштів для погашення своїх зобов</w:t>
      </w:r>
      <w:r w:rsidR="00684E33" w:rsidRPr="00A13E4B">
        <w:rPr>
          <w:rFonts w:ascii="Times New Roman" w:hAnsi="Times New Roman" w:cs="Times New Roman"/>
          <w:sz w:val="26"/>
          <w:szCs w:val="26"/>
        </w:rPr>
        <w:t>’</w:t>
      </w:r>
      <w:r w:rsidRPr="00A13E4B">
        <w:rPr>
          <w:rFonts w:ascii="Times New Roman" w:hAnsi="Times New Roman" w:cs="Times New Roman"/>
          <w:sz w:val="26"/>
          <w:szCs w:val="26"/>
        </w:rPr>
        <w:t>язань, необхідно передовсім проаналізувати процес надходження коштів від господарської діяльності і формування залишку коштів після погашення зобов</w:t>
      </w:r>
      <w:r w:rsidR="00684E33" w:rsidRPr="00A13E4B">
        <w:rPr>
          <w:rFonts w:ascii="Times New Roman" w:hAnsi="Times New Roman" w:cs="Times New Roman"/>
          <w:sz w:val="26"/>
          <w:szCs w:val="26"/>
        </w:rPr>
        <w:t>’</w:t>
      </w:r>
      <w:r w:rsidRPr="00A13E4B">
        <w:rPr>
          <w:rFonts w:ascii="Times New Roman" w:hAnsi="Times New Roman" w:cs="Times New Roman"/>
          <w:sz w:val="26"/>
          <w:szCs w:val="26"/>
        </w:rPr>
        <w:t>язань перед бюджетом, позабюджетними фондами та виплатою дивідендів.</w:t>
      </w:r>
    </w:p>
    <w:p w:rsidR="009B5B1F" w:rsidRPr="00A13E4B" w:rsidRDefault="009B5B1F"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В загальному плані фінансова стійкість підприємств характеризується перевищенням доходів над видатками, забезпечує вільне маневрування коштами, безперебійний процес виробництва і реалізації продукції.</w:t>
      </w:r>
    </w:p>
    <w:p w:rsidR="009B5B1F" w:rsidRPr="00A13E4B" w:rsidRDefault="009B5B1F"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Фінансова стійкість формується в процесі всієї виробничо-господарської діяльності підприємства і є головним компонентом його стабільності. На фінансову стійкість підприємства впливають асортимент і номенклатура продукції (товарів, робіт, послуг), що випускається, величина статутного капіталу, стан майна та фінансових ресурсів тощо. Оцінка фінансової стійкості підприємства має на меті об</w:t>
      </w:r>
      <w:r w:rsidR="00684E33" w:rsidRPr="00A13E4B">
        <w:rPr>
          <w:rFonts w:ascii="Times New Roman" w:hAnsi="Times New Roman" w:cs="Times New Roman"/>
          <w:sz w:val="26"/>
          <w:szCs w:val="26"/>
        </w:rPr>
        <w:t>’</w:t>
      </w:r>
      <w:r w:rsidRPr="00A13E4B">
        <w:rPr>
          <w:rFonts w:ascii="Times New Roman" w:hAnsi="Times New Roman" w:cs="Times New Roman"/>
          <w:sz w:val="26"/>
          <w:szCs w:val="26"/>
        </w:rPr>
        <w:t>єктивний аналіз величини та структури активів і пасивів підприємства і визначення на цій основі міри його фінансової стабільності та незалежності, а також відповідності фінансово-господарської діяльності підприємства цілям його статутної діяльності.</w:t>
      </w:r>
    </w:p>
    <w:p w:rsidR="00B82157" w:rsidRPr="00A13E4B" w:rsidRDefault="00B82157"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Показники ліквідності та фінансової стійкості товариства </w:t>
      </w:r>
      <w:r w:rsidR="002F5FBB" w:rsidRPr="00A13E4B">
        <w:rPr>
          <w:rFonts w:ascii="Times New Roman" w:hAnsi="Times New Roman" w:cs="Times New Roman"/>
          <w:sz w:val="26"/>
          <w:szCs w:val="26"/>
        </w:rPr>
        <w:t xml:space="preserve">станом на 2018 рік </w:t>
      </w:r>
      <w:r w:rsidRPr="00A13E4B">
        <w:rPr>
          <w:rFonts w:ascii="Times New Roman" w:hAnsi="Times New Roman" w:cs="Times New Roman"/>
          <w:sz w:val="26"/>
          <w:szCs w:val="26"/>
        </w:rPr>
        <w:t xml:space="preserve">зображено в </w:t>
      </w:r>
      <w:r w:rsidR="009B5B1F" w:rsidRPr="00A13E4B">
        <w:rPr>
          <w:rFonts w:ascii="Times New Roman" w:hAnsi="Times New Roman" w:cs="Times New Roman"/>
          <w:sz w:val="26"/>
          <w:szCs w:val="26"/>
        </w:rPr>
        <w:t>таблицях:</w:t>
      </w:r>
    </w:p>
    <w:p w:rsidR="00B82157" w:rsidRPr="00A13E4B" w:rsidRDefault="00B82157" w:rsidP="007A1FD0">
      <w:pPr>
        <w:spacing w:line="276" w:lineRule="auto"/>
        <w:ind w:right="142" w:firstLine="567"/>
        <w:jc w:val="right"/>
        <w:rPr>
          <w:rFonts w:ascii="Times New Roman" w:hAnsi="Times New Roman" w:cs="Times New Roman"/>
          <w:i/>
          <w:sz w:val="26"/>
          <w:szCs w:val="26"/>
        </w:rPr>
      </w:pPr>
      <w:r w:rsidRPr="00A13E4B">
        <w:rPr>
          <w:rFonts w:ascii="Times New Roman" w:hAnsi="Times New Roman" w:cs="Times New Roman"/>
          <w:i/>
          <w:sz w:val="26"/>
          <w:szCs w:val="26"/>
        </w:rPr>
        <w:t>Таблиця 1</w:t>
      </w:r>
    </w:p>
    <w:tbl>
      <w:tblPr>
        <w:tblStyle w:val="-41"/>
        <w:tblW w:w="9581" w:type="dxa"/>
        <w:tblInd w:w="108" w:type="dxa"/>
        <w:tblLook w:val="04A0" w:firstRow="1" w:lastRow="0" w:firstColumn="1" w:lastColumn="0" w:noHBand="0" w:noVBand="1"/>
      </w:tblPr>
      <w:tblGrid>
        <w:gridCol w:w="5103"/>
        <w:gridCol w:w="2111"/>
        <w:gridCol w:w="2367"/>
      </w:tblGrid>
      <w:tr w:rsidR="001A7F5D" w:rsidRPr="00A13E4B" w:rsidTr="009A5830">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103" w:type="dxa"/>
            <w:shd w:val="clear" w:color="auto" w:fill="808080" w:themeFill="background1" w:themeFillShade="80"/>
            <w:noWrap/>
            <w:hideMark/>
          </w:tcPr>
          <w:p w:rsidR="001A7F5D" w:rsidRPr="00A13E4B" w:rsidRDefault="001A7F5D" w:rsidP="007A1FD0">
            <w:pPr>
              <w:ind w:firstLine="567"/>
              <w:jc w:val="center"/>
              <w:rPr>
                <w:rFonts w:ascii="Times New Roman" w:eastAsia="Times New Roman" w:hAnsi="Times New Roman" w:cs="Times New Roman"/>
                <w:sz w:val="26"/>
                <w:szCs w:val="26"/>
                <w:lang w:eastAsia="uk-UA"/>
              </w:rPr>
            </w:pPr>
            <w:r w:rsidRPr="00A13E4B">
              <w:rPr>
                <w:rFonts w:ascii="Times New Roman" w:eastAsia="Times New Roman" w:hAnsi="Times New Roman" w:cs="Times New Roman"/>
                <w:sz w:val="26"/>
                <w:szCs w:val="26"/>
                <w:lang w:eastAsia="uk-UA"/>
              </w:rPr>
              <w:t>Показник ліквідності</w:t>
            </w:r>
          </w:p>
        </w:tc>
        <w:tc>
          <w:tcPr>
            <w:tcW w:w="2111" w:type="dxa"/>
            <w:shd w:val="clear" w:color="auto" w:fill="808080" w:themeFill="background1" w:themeFillShade="80"/>
          </w:tcPr>
          <w:p w:rsidR="001A7F5D" w:rsidRPr="00A13E4B" w:rsidRDefault="001A7F5D" w:rsidP="007A1FD0">
            <w:pPr>
              <w:ind w:firstLine="56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uk-UA"/>
              </w:rPr>
            </w:pPr>
            <w:r w:rsidRPr="00A13E4B">
              <w:rPr>
                <w:rFonts w:ascii="Times New Roman" w:eastAsia="Times New Roman" w:hAnsi="Times New Roman" w:cs="Times New Roman"/>
                <w:sz w:val="26"/>
                <w:szCs w:val="26"/>
                <w:lang w:eastAsia="uk-UA"/>
              </w:rPr>
              <w:t>31.12.2017</w:t>
            </w:r>
          </w:p>
        </w:tc>
        <w:tc>
          <w:tcPr>
            <w:tcW w:w="2367" w:type="dxa"/>
            <w:shd w:val="clear" w:color="auto" w:fill="808080" w:themeFill="background1" w:themeFillShade="80"/>
            <w:noWrap/>
            <w:hideMark/>
          </w:tcPr>
          <w:p w:rsidR="001A7F5D" w:rsidRPr="00A13E4B" w:rsidRDefault="001A7F5D" w:rsidP="007A1FD0">
            <w:pPr>
              <w:ind w:firstLine="56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uk-UA"/>
              </w:rPr>
            </w:pPr>
            <w:r w:rsidRPr="00A13E4B">
              <w:rPr>
                <w:rFonts w:ascii="Times New Roman" w:eastAsia="Times New Roman" w:hAnsi="Times New Roman" w:cs="Times New Roman"/>
                <w:sz w:val="26"/>
                <w:szCs w:val="26"/>
                <w:lang w:eastAsia="uk-UA"/>
              </w:rPr>
              <w:t>31.12.2018</w:t>
            </w:r>
          </w:p>
        </w:tc>
      </w:tr>
      <w:tr w:rsidR="003859B4" w:rsidRPr="00A13E4B" w:rsidTr="009A583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103" w:type="dxa"/>
            <w:shd w:val="clear" w:color="auto" w:fill="D9D9D9" w:themeFill="background1" w:themeFillShade="D9"/>
            <w:noWrap/>
            <w:vAlign w:val="center"/>
            <w:hideMark/>
          </w:tcPr>
          <w:p w:rsidR="003859B4" w:rsidRPr="00A13E4B" w:rsidRDefault="003859B4" w:rsidP="007A1FD0">
            <w:pPr>
              <w:ind w:firstLine="567"/>
              <w:rPr>
                <w:rFonts w:ascii="Times New Roman" w:hAnsi="Times New Roman" w:cs="Times New Roman"/>
                <w:color w:val="000000"/>
                <w:sz w:val="26"/>
                <w:szCs w:val="26"/>
              </w:rPr>
            </w:pPr>
            <w:r w:rsidRPr="00A13E4B">
              <w:rPr>
                <w:rFonts w:ascii="Times New Roman" w:hAnsi="Times New Roman" w:cs="Times New Roman"/>
                <w:color w:val="000000"/>
                <w:sz w:val="26"/>
                <w:szCs w:val="26"/>
              </w:rPr>
              <w:t>Коефіцієнт поточної ліквідності</w:t>
            </w:r>
          </w:p>
        </w:tc>
        <w:tc>
          <w:tcPr>
            <w:tcW w:w="2111" w:type="dxa"/>
            <w:shd w:val="clear" w:color="auto" w:fill="D9D9D9" w:themeFill="background1" w:themeFillShade="D9"/>
            <w:vAlign w:val="center"/>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3,20</w:t>
            </w:r>
          </w:p>
        </w:tc>
        <w:tc>
          <w:tcPr>
            <w:tcW w:w="2367" w:type="dxa"/>
            <w:shd w:val="clear" w:color="auto" w:fill="D9D9D9" w:themeFill="background1" w:themeFillShade="D9"/>
            <w:noWrap/>
            <w:vAlign w:val="center"/>
            <w:hideMark/>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2,20</w:t>
            </w:r>
          </w:p>
        </w:tc>
      </w:tr>
      <w:tr w:rsidR="003859B4" w:rsidRPr="00A13E4B" w:rsidTr="009A5830">
        <w:trPr>
          <w:trHeight w:val="891"/>
        </w:trPr>
        <w:tc>
          <w:tcPr>
            <w:cnfStyle w:val="001000000000" w:firstRow="0" w:lastRow="0" w:firstColumn="1" w:lastColumn="0" w:oddVBand="0" w:evenVBand="0" w:oddHBand="0" w:evenHBand="0" w:firstRowFirstColumn="0" w:firstRowLastColumn="0" w:lastRowFirstColumn="0" w:lastRowLastColumn="0"/>
            <w:tcW w:w="5103" w:type="dxa"/>
            <w:shd w:val="clear" w:color="auto" w:fill="D9D9D9" w:themeFill="background1" w:themeFillShade="D9"/>
            <w:vAlign w:val="center"/>
            <w:hideMark/>
          </w:tcPr>
          <w:p w:rsidR="003859B4" w:rsidRPr="00A13E4B" w:rsidRDefault="003859B4" w:rsidP="007A1FD0">
            <w:pPr>
              <w:ind w:firstLine="567"/>
              <w:rPr>
                <w:rFonts w:ascii="Times New Roman" w:hAnsi="Times New Roman" w:cs="Times New Roman"/>
                <w:color w:val="000000"/>
                <w:sz w:val="26"/>
                <w:szCs w:val="26"/>
              </w:rPr>
            </w:pPr>
            <w:r w:rsidRPr="00A13E4B">
              <w:rPr>
                <w:rFonts w:ascii="Times New Roman" w:hAnsi="Times New Roman" w:cs="Times New Roman"/>
                <w:color w:val="000000"/>
                <w:sz w:val="26"/>
                <w:szCs w:val="26"/>
              </w:rPr>
              <w:t>Коефіцієнт швидкої ліквідності</w:t>
            </w:r>
          </w:p>
        </w:tc>
        <w:tc>
          <w:tcPr>
            <w:tcW w:w="2111" w:type="dxa"/>
            <w:shd w:val="clear" w:color="auto" w:fill="D9D9D9" w:themeFill="background1" w:themeFillShade="D9"/>
            <w:vAlign w:val="center"/>
          </w:tcPr>
          <w:p w:rsidR="003859B4" w:rsidRPr="00A13E4B" w:rsidRDefault="003859B4" w:rsidP="007A1FD0">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0,63</w:t>
            </w:r>
          </w:p>
        </w:tc>
        <w:tc>
          <w:tcPr>
            <w:tcW w:w="2367" w:type="dxa"/>
            <w:shd w:val="clear" w:color="auto" w:fill="D9D9D9" w:themeFill="background1" w:themeFillShade="D9"/>
            <w:noWrap/>
            <w:vAlign w:val="center"/>
            <w:hideMark/>
          </w:tcPr>
          <w:p w:rsidR="003859B4" w:rsidRPr="00A13E4B" w:rsidRDefault="003859B4" w:rsidP="007A1FD0">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0,80</w:t>
            </w:r>
          </w:p>
        </w:tc>
      </w:tr>
      <w:tr w:rsidR="003859B4" w:rsidRPr="00A13E4B" w:rsidTr="009A5830">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5103" w:type="dxa"/>
            <w:shd w:val="clear" w:color="auto" w:fill="D9D9D9" w:themeFill="background1" w:themeFillShade="D9"/>
            <w:vAlign w:val="center"/>
          </w:tcPr>
          <w:p w:rsidR="003859B4" w:rsidRPr="00A13E4B" w:rsidRDefault="003859B4" w:rsidP="007A1FD0">
            <w:pPr>
              <w:ind w:firstLine="567"/>
              <w:rPr>
                <w:rFonts w:ascii="Times New Roman" w:hAnsi="Times New Roman" w:cs="Times New Roman"/>
                <w:color w:val="000000"/>
                <w:sz w:val="26"/>
                <w:szCs w:val="26"/>
              </w:rPr>
            </w:pPr>
            <w:r w:rsidRPr="00A13E4B">
              <w:rPr>
                <w:rFonts w:ascii="Times New Roman" w:hAnsi="Times New Roman" w:cs="Times New Roman"/>
                <w:color w:val="000000"/>
                <w:sz w:val="26"/>
                <w:szCs w:val="26"/>
              </w:rPr>
              <w:t>Коефіцієнт абсолютної ліквідності (платоспроможності)</w:t>
            </w:r>
          </w:p>
        </w:tc>
        <w:tc>
          <w:tcPr>
            <w:tcW w:w="2111" w:type="dxa"/>
            <w:shd w:val="clear" w:color="auto" w:fill="D9D9D9" w:themeFill="background1" w:themeFillShade="D9"/>
            <w:vAlign w:val="center"/>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0,3744</w:t>
            </w:r>
          </w:p>
        </w:tc>
        <w:tc>
          <w:tcPr>
            <w:tcW w:w="2367" w:type="dxa"/>
            <w:shd w:val="clear" w:color="auto" w:fill="D9D9D9" w:themeFill="background1" w:themeFillShade="D9"/>
            <w:noWrap/>
            <w:vAlign w:val="center"/>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0,4130</w:t>
            </w:r>
          </w:p>
        </w:tc>
      </w:tr>
      <w:tr w:rsidR="003859B4" w:rsidRPr="00A13E4B" w:rsidTr="009A5830">
        <w:trPr>
          <w:trHeight w:val="891"/>
        </w:trPr>
        <w:tc>
          <w:tcPr>
            <w:cnfStyle w:val="001000000000" w:firstRow="0" w:lastRow="0" w:firstColumn="1" w:lastColumn="0" w:oddVBand="0" w:evenVBand="0" w:oddHBand="0" w:evenHBand="0" w:firstRowFirstColumn="0" w:firstRowLastColumn="0" w:lastRowFirstColumn="0" w:lastRowLastColumn="0"/>
            <w:tcW w:w="5103" w:type="dxa"/>
            <w:shd w:val="clear" w:color="auto" w:fill="D9D9D9" w:themeFill="background1" w:themeFillShade="D9"/>
            <w:vAlign w:val="center"/>
          </w:tcPr>
          <w:p w:rsidR="003859B4" w:rsidRPr="00A13E4B" w:rsidRDefault="003859B4" w:rsidP="007A1FD0">
            <w:pPr>
              <w:ind w:firstLine="567"/>
              <w:rPr>
                <w:rFonts w:ascii="Times New Roman" w:hAnsi="Times New Roman" w:cs="Times New Roman"/>
                <w:color w:val="000000"/>
                <w:sz w:val="26"/>
                <w:szCs w:val="26"/>
              </w:rPr>
            </w:pPr>
            <w:r w:rsidRPr="00A13E4B">
              <w:rPr>
                <w:rFonts w:ascii="Times New Roman" w:hAnsi="Times New Roman" w:cs="Times New Roman"/>
                <w:color w:val="000000"/>
                <w:sz w:val="26"/>
                <w:szCs w:val="26"/>
              </w:rPr>
              <w:t>Маневреність власних оборотних засобів</w:t>
            </w:r>
          </w:p>
        </w:tc>
        <w:tc>
          <w:tcPr>
            <w:tcW w:w="2111" w:type="dxa"/>
            <w:shd w:val="clear" w:color="auto" w:fill="D9D9D9" w:themeFill="background1" w:themeFillShade="D9"/>
            <w:vAlign w:val="center"/>
          </w:tcPr>
          <w:p w:rsidR="003859B4" w:rsidRPr="00A13E4B" w:rsidRDefault="003859B4" w:rsidP="007A1FD0">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0,68</w:t>
            </w:r>
          </w:p>
        </w:tc>
        <w:tc>
          <w:tcPr>
            <w:tcW w:w="2367" w:type="dxa"/>
            <w:shd w:val="clear" w:color="auto" w:fill="D9D9D9" w:themeFill="background1" w:themeFillShade="D9"/>
            <w:noWrap/>
            <w:vAlign w:val="center"/>
          </w:tcPr>
          <w:p w:rsidR="003859B4" w:rsidRPr="00A13E4B" w:rsidRDefault="003859B4" w:rsidP="007A1FD0">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0,52</w:t>
            </w:r>
          </w:p>
        </w:tc>
      </w:tr>
    </w:tbl>
    <w:p w:rsidR="009B5B1F" w:rsidRPr="00A13E4B" w:rsidRDefault="009B5B1F" w:rsidP="007A1FD0">
      <w:pPr>
        <w:spacing w:line="276" w:lineRule="auto"/>
        <w:ind w:right="141" w:firstLine="567"/>
        <w:jc w:val="both"/>
        <w:rPr>
          <w:rFonts w:ascii="Times New Roman" w:hAnsi="Times New Roman" w:cs="Times New Roman"/>
          <w:sz w:val="26"/>
          <w:szCs w:val="26"/>
        </w:rPr>
      </w:pPr>
    </w:p>
    <w:p w:rsidR="00EB11E4" w:rsidRPr="00A13E4B" w:rsidRDefault="00EB11E4"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b/>
          <w:sz w:val="26"/>
          <w:szCs w:val="26"/>
        </w:rPr>
        <w:t>Коефіцієнт поточної ліквідності</w:t>
      </w:r>
      <w:r w:rsidRPr="00A13E4B">
        <w:rPr>
          <w:rFonts w:ascii="Times New Roman" w:hAnsi="Times New Roman" w:cs="Times New Roman"/>
          <w:sz w:val="26"/>
          <w:szCs w:val="26"/>
        </w:rPr>
        <w:t xml:space="preserve"> характеризує здатність підприємства до погашення довгострокових та поточних зобов’язань за </w:t>
      </w:r>
      <w:r w:rsidR="00B4727B">
        <w:rPr>
          <w:rFonts w:ascii="Times New Roman" w:hAnsi="Times New Roman" w:cs="Times New Roman"/>
          <w:sz w:val="26"/>
          <w:szCs w:val="26"/>
        </w:rPr>
        <w:t>рахунок всієї суми оборотних ак</w:t>
      </w:r>
      <w:r w:rsidRPr="00A13E4B">
        <w:rPr>
          <w:rFonts w:ascii="Times New Roman" w:hAnsi="Times New Roman" w:cs="Times New Roman"/>
          <w:sz w:val="26"/>
          <w:szCs w:val="26"/>
        </w:rPr>
        <w:t>тивів. Протягом періоду, що досліджується, коефіцієнт поточної ліквідності вищий за нормативне значення [&gt;1,5] та у 2018 р. становить 3,20, що на 1 менше ніж у 2017 р.</w:t>
      </w:r>
    </w:p>
    <w:p w:rsidR="00EB11E4" w:rsidRPr="00A13E4B" w:rsidRDefault="00EB11E4"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b/>
          <w:sz w:val="26"/>
          <w:szCs w:val="26"/>
        </w:rPr>
        <w:t>Коефіцієнт швидкої ліквідності</w:t>
      </w:r>
      <w:r w:rsidRPr="00A13E4B">
        <w:rPr>
          <w:rFonts w:ascii="Times New Roman" w:hAnsi="Times New Roman" w:cs="Times New Roman"/>
          <w:sz w:val="26"/>
          <w:szCs w:val="26"/>
        </w:rPr>
        <w:t xml:space="preserve"> враховує якість оборотних активів і при його розрахунку враховуються найбільш ліквідні поточні активи (запаси не враховуються). Коефіцієнт швидкої ліквідності Товариства станом на 2018 р. дорівнює 0,80 (менше 1), що означає, що на кожну гривню поточної заборгованості </w:t>
      </w:r>
      <w:r w:rsidRPr="00A13E4B">
        <w:rPr>
          <w:rFonts w:ascii="Times New Roman" w:hAnsi="Times New Roman" w:cs="Times New Roman"/>
          <w:sz w:val="26"/>
          <w:szCs w:val="26"/>
        </w:rPr>
        <w:lastRenderedPageBreak/>
        <w:t>воно має 80 копійок ліквідних активів</w:t>
      </w:r>
      <w:r w:rsidR="007A1FD0">
        <w:rPr>
          <w:rFonts w:ascii="Times New Roman" w:hAnsi="Times New Roman" w:cs="Times New Roman"/>
          <w:sz w:val="26"/>
          <w:szCs w:val="26"/>
        </w:rPr>
        <w:t>, що</w:t>
      </w:r>
      <w:r w:rsidRPr="00A13E4B">
        <w:rPr>
          <w:rFonts w:ascii="Times New Roman" w:hAnsi="Times New Roman" w:cs="Times New Roman"/>
          <w:sz w:val="26"/>
          <w:szCs w:val="26"/>
        </w:rPr>
        <w:t xml:space="preserve"> є недостатнім показником</w:t>
      </w:r>
      <w:r w:rsidR="007A1FD0">
        <w:rPr>
          <w:rFonts w:ascii="Times New Roman" w:hAnsi="Times New Roman" w:cs="Times New Roman"/>
          <w:sz w:val="26"/>
          <w:szCs w:val="26"/>
        </w:rPr>
        <w:t>, п</w:t>
      </w:r>
      <w:r w:rsidRPr="00A13E4B">
        <w:rPr>
          <w:rFonts w:ascii="Times New Roman" w:hAnsi="Times New Roman" w:cs="Times New Roman"/>
          <w:sz w:val="26"/>
          <w:szCs w:val="26"/>
        </w:rPr>
        <w:t>роте є кращим результат</w:t>
      </w:r>
      <w:r w:rsidR="00602B32" w:rsidRPr="00A13E4B">
        <w:rPr>
          <w:rFonts w:ascii="Times New Roman" w:hAnsi="Times New Roman" w:cs="Times New Roman"/>
          <w:sz w:val="26"/>
          <w:szCs w:val="26"/>
        </w:rPr>
        <w:t>о</w:t>
      </w:r>
      <w:r w:rsidRPr="00A13E4B">
        <w:rPr>
          <w:rFonts w:ascii="Times New Roman" w:hAnsi="Times New Roman" w:cs="Times New Roman"/>
          <w:sz w:val="26"/>
          <w:szCs w:val="26"/>
        </w:rPr>
        <w:t>м у порівнянні з 2017 роком.</w:t>
      </w:r>
    </w:p>
    <w:p w:rsidR="00EB11E4" w:rsidRPr="00A13E4B" w:rsidRDefault="00EB11E4"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b/>
          <w:sz w:val="26"/>
          <w:szCs w:val="26"/>
        </w:rPr>
        <w:t>Коефіцієнт абсолютної ліквідності</w:t>
      </w:r>
      <w:r w:rsidRPr="00A13E4B">
        <w:rPr>
          <w:rFonts w:ascii="Times New Roman" w:hAnsi="Times New Roman" w:cs="Times New Roman"/>
          <w:sz w:val="26"/>
          <w:szCs w:val="26"/>
        </w:rPr>
        <w:t xml:space="preserve"> (платоспроможності) є найбільш жорстким критерієм ліквідності підприємства і показує, яку частину короткострокових зобов'язань можна за необхідності погасити негайно. Коефіцієнт абсолютної ліквідності станом на 2018 рік становить 0,4130, що на 0.038 більше ніж за попередній період.</w:t>
      </w:r>
    </w:p>
    <w:p w:rsidR="00EB11E4" w:rsidRPr="00A13E4B" w:rsidRDefault="00EB11E4"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b/>
          <w:sz w:val="26"/>
          <w:szCs w:val="26"/>
        </w:rPr>
        <w:t xml:space="preserve">Коефіцієнт маневреності власних оборотних коштів </w:t>
      </w:r>
      <w:r w:rsidR="00B4727B">
        <w:rPr>
          <w:rFonts w:ascii="Times New Roman" w:hAnsi="Times New Roman" w:cs="Times New Roman"/>
          <w:b/>
          <w:sz w:val="26"/>
          <w:szCs w:val="26"/>
        </w:rPr>
        <w:t>–</w:t>
      </w:r>
      <w:r w:rsidRPr="00A13E4B">
        <w:rPr>
          <w:rFonts w:ascii="Times New Roman" w:hAnsi="Times New Roman" w:cs="Times New Roman"/>
          <w:sz w:val="26"/>
          <w:szCs w:val="26"/>
        </w:rPr>
        <w:t xml:space="preserve"> показник говорить про те, яку частку власних оборотних коштів складають гроші та їх еквіваленти. Маневреність власних оборотних коштів показує співвідношення між коштами та власними оборотними коштами.</w:t>
      </w:r>
      <w:r w:rsidR="00602B32" w:rsidRPr="00A13E4B">
        <w:rPr>
          <w:rFonts w:ascii="Times New Roman" w:hAnsi="Times New Roman" w:cs="Times New Roman"/>
          <w:sz w:val="26"/>
          <w:szCs w:val="26"/>
        </w:rPr>
        <w:t xml:space="preserve"> За 2018 рік цей показник становить 0.52, що на 0.16 менше ніж за попередній період. Це говорить про те, що залежність підприємства від позикових оборотних коштів є значною. Компанія не зможе самостійно формувати оборотний капітал і фінансувати свої оборотні активи тільки за рахунок власного капіталу. Висока залежність від позикового капіталу створює середньо- і довгострокові ризики. У поточних умовах компанія може працювати ефективно, однак збільшення вартості залучення позикових коштів, закриття доступу на кредитний ринок і ринок капіталу може призвести до проблем фінансування оборотного капіталу.</w:t>
      </w:r>
    </w:p>
    <w:p w:rsidR="002F5FBB" w:rsidRPr="00A13E4B" w:rsidRDefault="002F5FBB" w:rsidP="007A1FD0">
      <w:pPr>
        <w:spacing w:line="276" w:lineRule="auto"/>
        <w:ind w:right="141" w:firstLine="567"/>
        <w:jc w:val="right"/>
        <w:rPr>
          <w:rFonts w:ascii="Times New Roman" w:hAnsi="Times New Roman" w:cs="Times New Roman"/>
          <w:i/>
          <w:sz w:val="26"/>
          <w:szCs w:val="26"/>
        </w:rPr>
      </w:pPr>
      <w:r w:rsidRPr="00A13E4B">
        <w:rPr>
          <w:rFonts w:ascii="Times New Roman" w:hAnsi="Times New Roman" w:cs="Times New Roman"/>
          <w:i/>
          <w:sz w:val="26"/>
          <w:szCs w:val="26"/>
        </w:rPr>
        <w:t>Таблиця 2</w:t>
      </w:r>
    </w:p>
    <w:tbl>
      <w:tblPr>
        <w:tblStyle w:val="-41"/>
        <w:tblW w:w="9734" w:type="dxa"/>
        <w:tblLook w:val="04A0" w:firstRow="1" w:lastRow="0" w:firstColumn="1" w:lastColumn="0" w:noHBand="0" w:noVBand="1"/>
      </w:tblPr>
      <w:tblGrid>
        <w:gridCol w:w="5568"/>
        <w:gridCol w:w="2100"/>
        <w:gridCol w:w="2066"/>
      </w:tblGrid>
      <w:tr w:rsidR="001A7F5D" w:rsidRPr="00A13E4B" w:rsidTr="003859B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568" w:type="dxa"/>
            <w:shd w:val="clear" w:color="auto" w:fill="808080" w:themeFill="background1" w:themeFillShade="80"/>
            <w:noWrap/>
            <w:hideMark/>
          </w:tcPr>
          <w:p w:rsidR="001A7F5D" w:rsidRPr="00A13E4B" w:rsidRDefault="001A7F5D" w:rsidP="007A1FD0">
            <w:pPr>
              <w:ind w:firstLine="567"/>
              <w:jc w:val="center"/>
              <w:rPr>
                <w:rFonts w:ascii="Times New Roman" w:eastAsia="Times New Roman" w:hAnsi="Times New Roman" w:cs="Times New Roman"/>
                <w:sz w:val="26"/>
                <w:szCs w:val="26"/>
                <w:lang w:eastAsia="uk-UA"/>
              </w:rPr>
            </w:pPr>
            <w:r w:rsidRPr="00A13E4B">
              <w:rPr>
                <w:rFonts w:ascii="Times New Roman" w:eastAsia="Times New Roman" w:hAnsi="Times New Roman" w:cs="Times New Roman"/>
                <w:sz w:val="26"/>
                <w:szCs w:val="26"/>
                <w:lang w:eastAsia="uk-UA"/>
              </w:rPr>
              <w:t>Показник фінансової стійкості</w:t>
            </w:r>
          </w:p>
        </w:tc>
        <w:tc>
          <w:tcPr>
            <w:tcW w:w="2100" w:type="dxa"/>
            <w:shd w:val="clear" w:color="auto" w:fill="808080" w:themeFill="background1" w:themeFillShade="80"/>
          </w:tcPr>
          <w:p w:rsidR="001A7F5D" w:rsidRPr="00A13E4B" w:rsidRDefault="001A7F5D" w:rsidP="007A1FD0">
            <w:pPr>
              <w:ind w:firstLine="56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A13E4B">
              <w:rPr>
                <w:rFonts w:ascii="Times New Roman" w:hAnsi="Times New Roman" w:cs="Times New Roman"/>
                <w:sz w:val="26"/>
                <w:szCs w:val="26"/>
              </w:rPr>
              <w:t>31.12.2017</w:t>
            </w:r>
          </w:p>
        </w:tc>
        <w:tc>
          <w:tcPr>
            <w:tcW w:w="2066" w:type="dxa"/>
            <w:shd w:val="clear" w:color="auto" w:fill="808080" w:themeFill="background1" w:themeFillShade="80"/>
            <w:noWrap/>
            <w:hideMark/>
          </w:tcPr>
          <w:p w:rsidR="001A7F5D" w:rsidRPr="00A13E4B" w:rsidRDefault="001A7F5D" w:rsidP="007A1FD0">
            <w:pPr>
              <w:ind w:firstLine="56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uk-UA"/>
              </w:rPr>
            </w:pPr>
            <w:r w:rsidRPr="00A13E4B">
              <w:rPr>
                <w:rFonts w:ascii="Times New Roman" w:eastAsia="Times New Roman" w:hAnsi="Times New Roman" w:cs="Times New Roman"/>
                <w:sz w:val="26"/>
                <w:szCs w:val="26"/>
                <w:lang w:eastAsia="uk-UA"/>
              </w:rPr>
              <w:t>31.12.2018</w:t>
            </w:r>
          </w:p>
        </w:tc>
      </w:tr>
      <w:tr w:rsidR="003859B4" w:rsidRPr="00A13E4B" w:rsidTr="003859B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568" w:type="dxa"/>
            <w:shd w:val="clear" w:color="auto" w:fill="D9D9D9" w:themeFill="background1" w:themeFillShade="D9"/>
            <w:vAlign w:val="center"/>
            <w:hideMark/>
          </w:tcPr>
          <w:p w:rsidR="003859B4" w:rsidRPr="00A13E4B" w:rsidRDefault="003859B4" w:rsidP="007A1FD0">
            <w:pPr>
              <w:ind w:firstLine="567"/>
              <w:rPr>
                <w:rFonts w:ascii="Times New Roman" w:hAnsi="Times New Roman" w:cs="Times New Roman"/>
                <w:color w:val="000000"/>
                <w:sz w:val="26"/>
                <w:szCs w:val="26"/>
              </w:rPr>
            </w:pPr>
            <w:r w:rsidRPr="00A13E4B">
              <w:rPr>
                <w:rFonts w:ascii="Times New Roman" w:hAnsi="Times New Roman" w:cs="Times New Roman"/>
                <w:color w:val="000000"/>
                <w:sz w:val="26"/>
                <w:szCs w:val="26"/>
              </w:rPr>
              <w:t>Коефіцієнт фінансової автономії</w:t>
            </w:r>
          </w:p>
        </w:tc>
        <w:tc>
          <w:tcPr>
            <w:tcW w:w="2100" w:type="dxa"/>
            <w:shd w:val="clear" w:color="auto" w:fill="D9D9D9" w:themeFill="background1" w:themeFillShade="D9"/>
            <w:vAlign w:val="center"/>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0,89</w:t>
            </w:r>
          </w:p>
        </w:tc>
        <w:tc>
          <w:tcPr>
            <w:tcW w:w="2066" w:type="dxa"/>
            <w:shd w:val="clear" w:color="auto" w:fill="D9D9D9" w:themeFill="background1" w:themeFillShade="D9"/>
            <w:noWrap/>
            <w:vAlign w:val="center"/>
            <w:hideMark/>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0,82</w:t>
            </w:r>
          </w:p>
        </w:tc>
      </w:tr>
      <w:tr w:rsidR="003859B4" w:rsidRPr="00A13E4B" w:rsidTr="003859B4">
        <w:trPr>
          <w:trHeight w:val="360"/>
        </w:trPr>
        <w:tc>
          <w:tcPr>
            <w:cnfStyle w:val="001000000000" w:firstRow="0" w:lastRow="0" w:firstColumn="1" w:lastColumn="0" w:oddVBand="0" w:evenVBand="0" w:oddHBand="0" w:evenHBand="0" w:firstRowFirstColumn="0" w:firstRowLastColumn="0" w:lastRowFirstColumn="0" w:lastRowLastColumn="0"/>
            <w:tcW w:w="5568" w:type="dxa"/>
            <w:shd w:val="clear" w:color="auto" w:fill="D9D9D9" w:themeFill="background1" w:themeFillShade="D9"/>
            <w:vAlign w:val="center"/>
            <w:hideMark/>
          </w:tcPr>
          <w:p w:rsidR="003859B4" w:rsidRPr="00A13E4B" w:rsidRDefault="003859B4" w:rsidP="007A1FD0">
            <w:pPr>
              <w:ind w:firstLine="567"/>
              <w:rPr>
                <w:rFonts w:ascii="Times New Roman" w:hAnsi="Times New Roman" w:cs="Times New Roman"/>
                <w:color w:val="000000"/>
                <w:sz w:val="26"/>
                <w:szCs w:val="26"/>
              </w:rPr>
            </w:pPr>
            <w:r w:rsidRPr="00A13E4B">
              <w:rPr>
                <w:rFonts w:ascii="Times New Roman" w:hAnsi="Times New Roman" w:cs="Times New Roman"/>
                <w:color w:val="000000"/>
                <w:sz w:val="26"/>
                <w:szCs w:val="26"/>
              </w:rPr>
              <w:t>Коефіцієнт фінансової залежності</w:t>
            </w:r>
          </w:p>
        </w:tc>
        <w:tc>
          <w:tcPr>
            <w:tcW w:w="2100" w:type="dxa"/>
            <w:shd w:val="clear" w:color="auto" w:fill="D9D9D9" w:themeFill="background1" w:themeFillShade="D9"/>
            <w:vAlign w:val="center"/>
          </w:tcPr>
          <w:p w:rsidR="003859B4" w:rsidRPr="00A13E4B" w:rsidRDefault="003859B4" w:rsidP="007A1FD0">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1,12</w:t>
            </w:r>
          </w:p>
        </w:tc>
        <w:tc>
          <w:tcPr>
            <w:tcW w:w="2066" w:type="dxa"/>
            <w:shd w:val="clear" w:color="auto" w:fill="D9D9D9" w:themeFill="background1" w:themeFillShade="D9"/>
            <w:noWrap/>
            <w:vAlign w:val="center"/>
            <w:hideMark/>
          </w:tcPr>
          <w:p w:rsidR="003859B4" w:rsidRPr="00A13E4B" w:rsidRDefault="003859B4" w:rsidP="007A1FD0">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1,22</w:t>
            </w:r>
          </w:p>
        </w:tc>
      </w:tr>
      <w:tr w:rsidR="003859B4" w:rsidRPr="00A13E4B" w:rsidTr="003859B4">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5568" w:type="dxa"/>
            <w:shd w:val="clear" w:color="auto" w:fill="D9D9D9" w:themeFill="background1" w:themeFillShade="D9"/>
            <w:vAlign w:val="center"/>
            <w:hideMark/>
          </w:tcPr>
          <w:p w:rsidR="003859B4" w:rsidRPr="00A13E4B" w:rsidRDefault="003859B4" w:rsidP="007A1FD0">
            <w:pPr>
              <w:ind w:firstLine="567"/>
              <w:rPr>
                <w:rFonts w:ascii="Times New Roman" w:hAnsi="Times New Roman" w:cs="Times New Roman"/>
                <w:color w:val="000000"/>
                <w:sz w:val="26"/>
                <w:szCs w:val="26"/>
              </w:rPr>
            </w:pPr>
            <w:r w:rsidRPr="00A13E4B">
              <w:rPr>
                <w:rFonts w:ascii="Times New Roman" w:hAnsi="Times New Roman" w:cs="Times New Roman"/>
                <w:color w:val="000000"/>
                <w:sz w:val="26"/>
                <w:szCs w:val="26"/>
              </w:rPr>
              <w:t>Коефіцієнт маневреності власного капіталу</w:t>
            </w:r>
          </w:p>
        </w:tc>
        <w:tc>
          <w:tcPr>
            <w:tcW w:w="2100" w:type="dxa"/>
            <w:shd w:val="clear" w:color="auto" w:fill="D9D9D9" w:themeFill="background1" w:themeFillShade="D9"/>
            <w:vAlign w:val="center"/>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0,26</w:t>
            </w:r>
          </w:p>
        </w:tc>
        <w:tc>
          <w:tcPr>
            <w:tcW w:w="2066" w:type="dxa"/>
            <w:shd w:val="clear" w:color="auto" w:fill="D9D9D9" w:themeFill="background1" w:themeFillShade="D9"/>
            <w:noWrap/>
            <w:vAlign w:val="center"/>
            <w:hideMark/>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0,24</w:t>
            </w:r>
          </w:p>
        </w:tc>
      </w:tr>
      <w:tr w:rsidR="003859B4" w:rsidRPr="00A13E4B" w:rsidTr="003859B4">
        <w:trPr>
          <w:trHeight w:val="725"/>
        </w:trPr>
        <w:tc>
          <w:tcPr>
            <w:cnfStyle w:val="001000000000" w:firstRow="0" w:lastRow="0" w:firstColumn="1" w:lastColumn="0" w:oddVBand="0" w:evenVBand="0" w:oddHBand="0" w:evenHBand="0" w:firstRowFirstColumn="0" w:firstRowLastColumn="0" w:lastRowFirstColumn="0" w:lastRowLastColumn="0"/>
            <w:tcW w:w="5568" w:type="dxa"/>
            <w:shd w:val="clear" w:color="auto" w:fill="D9D9D9" w:themeFill="background1" w:themeFillShade="D9"/>
            <w:vAlign w:val="center"/>
            <w:hideMark/>
          </w:tcPr>
          <w:p w:rsidR="003859B4" w:rsidRPr="00A13E4B" w:rsidRDefault="003859B4" w:rsidP="007A1FD0">
            <w:pPr>
              <w:ind w:firstLine="567"/>
              <w:rPr>
                <w:rFonts w:ascii="Times New Roman" w:hAnsi="Times New Roman" w:cs="Times New Roman"/>
                <w:color w:val="000000"/>
                <w:sz w:val="26"/>
                <w:szCs w:val="26"/>
              </w:rPr>
            </w:pPr>
            <w:r w:rsidRPr="00A13E4B">
              <w:rPr>
                <w:rFonts w:ascii="Times New Roman" w:hAnsi="Times New Roman" w:cs="Times New Roman"/>
                <w:color w:val="000000"/>
                <w:sz w:val="26"/>
                <w:szCs w:val="26"/>
              </w:rPr>
              <w:t>Коефіцієнт концентрації позикового капіталу</w:t>
            </w:r>
          </w:p>
        </w:tc>
        <w:tc>
          <w:tcPr>
            <w:tcW w:w="2100" w:type="dxa"/>
            <w:shd w:val="clear" w:color="auto" w:fill="D9D9D9" w:themeFill="background1" w:themeFillShade="D9"/>
            <w:vAlign w:val="center"/>
          </w:tcPr>
          <w:p w:rsidR="003859B4" w:rsidRPr="00A13E4B" w:rsidRDefault="003859B4" w:rsidP="007A1FD0">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0,11</w:t>
            </w:r>
          </w:p>
        </w:tc>
        <w:tc>
          <w:tcPr>
            <w:tcW w:w="2066" w:type="dxa"/>
            <w:shd w:val="clear" w:color="auto" w:fill="D9D9D9" w:themeFill="background1" w:themeFillShade="D9"/>
            <w:noWrap/>
            <w:vAlign w:val="center"/>
            <w:hideMark/>
          </w:tcPr>
          <w:p w:rsidR="003859B4" w:rsidRPr="00A13E4B" w:rsidRDefault="003859B4" w:rsidP="007A1FD0">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0,18</w:t>
            </w:r>
          </w:p>
        </w:tc>
      </w:tr>
      <w:tr w:rsidR="003859B4" w:rsidRPr="00A13E4B" w:rsidTr="003859B4">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5568" w:type="dxa"/>
            <w:shd w:val="clear" w:color="auto" w:fill="D9D9D9" w:themeFill="background1" w:themeFillShade="D9"/>
            <w:vAlign w:val="center"/>
            <w:hideMark/>
          </w:tcPr>
          <w:p w:rsidR="003859B4" w:rsidRPr="00A13E4B" w:rsidRDefault="003859B4" w:rsidP="007A1FD0">
            <w:pPr>
              <w:ind w:firstLine="567"/>
              <w:rPr>
                <w:rFonts w:ascii="Times New Roman" w:hAnsi="Times New Roman" w:cs="Times New Roman"/>
                <w:color w:val="000000"/>
                <w:sz w:val="26"/>
                <w:szCs w:val="26"/>
              </w:rPr>
            </w:pPr>
            <w:r w:rsidRPr="00A13E4B">
              <w:rPr>
                <w:rFonts w:ascii="Times New Roman" w:hAnsi="Times New Roman" w:cs="Times New Roman"/>
                <w:color w:val="000000"/>
                <w:sz w:val="26"/>
                <w:szCs w:val="26"/>
              </w:rPr>
              <w:t xml:space="preserve">Коефіцієнт структури позикового капіталу </w:t>
            </w:r>
          </w:p>
        </w:tc>
        <w:tc>
          <w:tcPr>
            <w:tcW w:w="2100" w:type="dxa"/>
            <w:shd w:val="clear" w:color="auto" w:fill="D9D9D9" w:themeFill="background1" w:themeFillShade="D9"/>
            <w:vAlign w:val="center"/>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0,03</w:t>
            </w:r>
          </w:p>
        </w:tc>
        <w:tc>
          <w:tcPr>
            <w:tcW w:w="2066" w:type="dxa"/>
            <w:shd w:val="clear" w:color="auto" w:fill="D9D9D9" w:themeFill="background1" w:themeFillShade="D9"/>
            <w:noWrap/>
            <w:vAlign w:val="center"/>
            <w:hideMark/>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0,05</w:t>
            </w:r>
          </w:p>
        </w:tc>
      </w:tr>
      <w:tr w:rsidR="003859B4" w:rsidRPr="00A13E4B" w:rsidTr="003859B4">
        <w:trPr>
          <w:trHeight w:val="725"/>
        </w:trPr>
        <w:tc>
          <w:tcPr>
            <w:cnfStyle w:val="001000000000" w:firstRow="0" w:lastRow="0" w:firstColumn="1" w:lastColumn="0" w:oddVBand="0" w:evenVBand="0" w:oddHBand="0" w:evenHBand="0" w:firstRowFirstColumn="0" w:firstRowLastColumn="0" w:lastRowFirstColumn="0" w:lastRowLastColumn="0"/>
            <w:tcW w:w="5568" w:type="dxa"/>
            <w:shd w:val="clear" w:color="auto" w:fill="D9D9D9" w:themeFill="background1" w:themeFillShade="D9"/>
            <w:vAlign w:val="center"/>
            <w:hideMark/>
          </w:tcPr>
          <w:p w:rsidR="003859B4" w:rsidRPr="00A13E4B" w:rsidRDefault="003859B4" w:rsidP="007A1FD0">
            <w:pPr>
              <w:ind w:firstLine="567"/>
              <w:rPr>
                <w:rFonts w:ascii="Times New Roman" w:hAnsi="Times New Roman" w:cs="Times New Roman"/>
                <w:color w:val="000000"/>
                <w:sz w:val="26"/>
                <w:szCs w:val="26"/>
              </w:rPr>
            </w:pPr>
            <w:r w:rsidRPr="00A13E4B">
              <w:rPr>
                <w:rFonts w:ascii="Times New Roman" w:hAnsi="Times New Roman" w:cs="Times New Roman"/>
                <w:color w:val="000000"/>
                <w:sz w:val="26"/>
                <w:szCs w:val="26"/>
              </w:rPr>
              <w:t>Коефіцієнт співвідношення позикових та власних коштів</w:t>
            </w:r>
          </w:p>
        </w:tc>
        <w:tc>
          <w:tcPr>
            <w:tcW w:w="2100" w:type="dxa"/>
            <w:shd w:val="clear" w:color="auto" w:fill="D9D9D9" w:themeFill="background1" w:themeFillShade="D9"/>
            <w:vAlign w:val="center"/>
          </w:tcPr>
          <w:p w:rsidR="003859B4" w:rsidRPr="00A13E4B" w:rsidRDefault="003859B4" w:rsidP="007A1FD0">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0,12</w:t>
            </w:r>
          </w:p>
        </w:tc>
        <w:tc>
          <w:tcPr>
            <w:tcW w:w="2066" w:type="dxa"/>
            <w:shd w:val="clear" w:color="auto" w:fill="D9D9D9" w:themeFill="background1" w:themeFillShade="D9"/>
            <w:noWrap/>
            <w:vAlign w:val="center"/>
            <w:hideMark/>
          </w:tcPr>
          <w:p w:rsidR="003859B4" w:rsidRPr="00A13E4B" w:rsidRDefault="003859B4" w:rsidP="007A1FD0">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0,22</w:t>
            </w:r>
          </w:p>
        </w:tc>
      </w:tr>
      <w:tr w:rsidR="003859B4" w:rsidRPr="00A13E4B" w:rsidTr="003859B4">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5568" w:type="dxa"/>
            <w:shd w:val="clear" w:color="auto" w:fill="D9D9D9" w:themeFill="background1" w:themeFillShade="D9"/>
            <w:vAlign w:val="center"/>
          </w:tcPr>
          <w:p w:rsidR="003859B4" w:rsidRPr="00A13E4B" w:rsidRDefault="003859B4" w:rsidP="007A1FD0">
            <w:pPr>
              <w:ind w:firstLine="567"/>
              <w:rPr>
                <w:rFonts w:ascii="Times New Roman" w:hAnsi="Times New Roman" w:cs="Times New Roman"/>
                <w:color w:val="000000"/>
                <w:sz w:val="26"/>
                <w:szCs w:val="26"/>
              </w:rPr>
            </w:pPr>
            <w:r w:rsidRPr="00A13E4B">
              <w:rPr>
                <w:rFonts w:ascii="Times New Roman" w:hAnsi="Times New Roman" w:cs="Times New Roman"/>
                <w:color w:val="000000"/>
                <w:sz w:val="26"/>
                <w:szCs w:val="26"/>
              </w:rPr>
              <w:t xml:space="preserve">Коефіцієнт забезпечення власними засобами </w:t>
            </w:r>
          </w:p>
        </w:tc>
        <w:tc>
          <w:tcPr>
            <w:tcW w:w="2100" w:type="dxa"/>
            <w:shd w:val="clear" w:color="auto" w:fill="D9D9D9" w:themeFill="background1" w:themeFillShade="D9"/>
            <w:vAlign w:val="center"/>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0,678</w:t>
            </w:r>
          </w:p>
        </w:tc>
        <w:tc>
          <w:tcPr>
            <w:tcW w:w="2066" w:type="dxa"/>
            <w:shd w:val="clear" w:color="auto" w:fill="D9D9D9" w:themeFill="background1" w:themeFillShade="D9"/>
            <w:noWrap/>
            <w:vAlign w:val="center"/>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0,523</w:t>
            </w:r>
          </w:p>
        </w:tc>
      </w:tr>
      <w:tr w:rsidR="003859B4" w:rsidRPr="00A13E4B" w:rsidTr="003859B4">
        <w:trPr>
          <w:trHeight w:val="725"/>
        </w:trPr>
        <w:tc>
          <w:tcPr>
            <w:cnfStyle w:val="001000000000" w:firstRow="0" w:lastRow="0" w:firstColumn="1" w:lastColumn="0" w:oddVBand="0" w:evenVBand="0" w:oddHBand="0" w:evenHBand="0" w:firstRowFirstColumn="0" w:firstRowLastColumn="0" w:lastRowFirstColumn="0" w:lastRowLastColumn="0"/>
            <w:tcW w:w="5568" w:type="dxa"/>
            <w:shd w:val="clear" w:color="auto" w:fill="D9D9D9" w:themeFill="background1" w:themeFillShade="D9"/>
            <w:vAlign w:val="center"/>
          </w:tcPr>
          <w:p w:rsidR="003859B4" w:rsidRPr="00A13E4B" w:rsidRDefault="003859B4" w:rsidP="007A1FD0">
            <w:pPr>
              <w:ind w:firstLine="567"/>
              <w:rPr>
                <w:rFonts w:ascii="Times New Roman" w:hAnsi="Times New Roman" w:cs="Times New Roman"/>
                <w:color w:val="000000"/>
                <w:sz w:val="26"/>
                <w:szCs w:val="26"/>
              </w:rPr>
            </w:pPr>
            <w:r w:rsidRPr="00A13E4B">
              <w:rPr>
                <w:rFonts w:ascii="Times New Roman" w:hAnsi="Times New Roman" w:cs="Times New Roman"/>
                <w:color w:val="000000"/>
                <w:sz w:val="26"/>
                <w:szCs w:val="26"/>
              </w:rPr>
              <w:t>Показник фінансового левериджу</w:t>
            </w:r>
          </w:p>
        </w:tc>
        <w:tc>
          <w:tcPr>
            <w:tcW w:w="2100" w:type="dxa"/>
            <w:shd w:val="clear" w:color="auto" w:fill="D9D9D9" w:themeFill="background1" w:themeFillShade="D9"/>
            <w:vAlign w:val="center"/>
          </w:tcPr>
          <w:p w:rsidR="003859B4" w:rsidRPr="00A13E4B" w:rsidRDefault="003859B4" w:rsidP="007A1FD0">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0,12</w:t>
            </w:r>
          </w:p>
        </w:tc>
        <w:tc>
          <w:tcPr>
            <w:tcW w:w="2066" w:type="dxa"/>
            <w:shd w:val="clear" w:color="auto" w:fill="D9D9D9" w:themeFill="background1" w:themeFillShade="D9"/>
            <w:noWrap/>
            <w:vAlign w:val="center"/>
          </w:tcPr>
          <w:p w:rsidR="003859B4" w:rsidRPr="00A13E4B" w:rsidRDefault="003859B4" w:rsidP="007A1FD0">
            <w:pPr>
              <w:ind w:firstLine="5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0,22</w:t>
            </w:r>
          </w:p>
        </w:tc>
      </w:tr>
      <w:tr w:rsidR="003859B4" w:rsidRPr="00A13E4B" w:rsidTr="003859B4">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5568" w:type="dxa"/>
            <w:shd w:val="clear" w:color="auto" w:fill="D9D9D9" w:themeFill="background1" w:themeFillShade="D9"/>
            <w:vAlign w:val="center"/>
          </w:tcPr>
          <w:p w:rsidR="003859B4" w:rsidRPr="00A13E4B" w:rsidRDefault="003859B4" w:rsidP="007A1FD0">
            <w:pPr>
              <w:ind w:firstLine="567"/>
              <w:rPr>
                <w:rFonts w:ascii="Times New Roman" w:hAnsi="Times New Roman" w:cs="Times New Roman"/>
                <w:color w:val="000000"/>
                <w:sz w:val="26"/>
                <w:szCs w:val="26"/>
              </w:rPr>
            </w:pPr>
            <w:r w:rsidRPr="00A13E4B">
              <w:rPr>
                <w:rFonts w:ascii="Times New Roman" w:hAnsi="Times New Roman" w:cs="Times New Roman"/>
                <w:color w:val="000000"/>
                <w:sz w:val="26"/>
                <w:szCs w:val="26"/>
              </w:rPr>
              <w:t>Поточна платоспроможність</w:t>
            </w:r>
          </w:p>
        </w:tc>
        <w:tc>
          <w:tcPr>
            <w:tcW w:w="2100" w:type="dxa"/>
            <w:shd w:val="clear" w:color="auto" w:fill="D9D9D9" w:themeFill="background1" w:themeFillShade="D9"/>
            <w:vAlign w:val="center"/>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-33822</w:t>
            </w:r>
          </w:p>
        </w:tc>
        <w:tc>
          <w:tcPr>
            <w:tcW w:w="2066" w:type="dxa"/>
            <w:shd w:val="clear" w:color="auto" w:fill="D9D9D9" w:themeFill="background1" w:themeFillShade="D9"/>
            <w:noWrap/>
            <w:vAlign w:val="center"/>
          </w:tcPr>
          <w:p w:rsidR="003859B4" w:rsidRPr="00A13E4B" w:rsidRDefault="003859B4" w:rsidP="007A1FD0">
            <w:pPr>
              <w:ind w:firstLine="56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6"/>
                <w:szCs w:val="26"/>
              </w:rPr>
            </w:pPr>
            <w:r w:rsidRPr="00A13E4B">
              <w:rPr>
                <w:rFonts w:ascii="Times New Roman" w:hAnsi="Times New Roman" w:cs="Times New Roman"/>
                <w:color w:val="000000"/>
                <w:sz w:val="26"/>
                <w:szCs w:val="26"/>
              </w:rPr>
              <w:t>-54195</w:t>
            </w:r>
          </w:p>
        </w:tc>
      </w:tr>
    </w:tbl>
    <w:p w:rsidR="003873FA" w:rsidRPr="00A13E4B" w:rsidRDefault="003873FA" w:rsidP="007A1FD0">
      <w:pPr>
        <w:spacing w:line="276" w:lineRule="auto"/>
        <w:ind w:right="141" w:firstLine="567"/>
        <w:jc w:val="both"/>
        <w:rPr>
          <w:rFonts w:ascii="Times New Roman" w:hAnsi="Times New Roman" w:cs="Times New Roman"/>
          <w:color w:val="FF0000"/>
          <w:sz w:val="26"/>
          <w:szCs w:val="26"/>
        </w:rPr>
      </w:pPr>
    </w:p>
    <w:p w:rsidR="00602B32" w:rsidRPr="00A13E4B" w:rsidRDefault="00602B32"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b/>
          <w:sz w:val="26"/>
          <w:szCs w:val="26"/>
        </w:rPr>
        <w:t xml:space="preserve">Коефіцієнт фінансової автономії </w:t>
      </w:r>
      <w:r w:rsidRPr="00A13E4B">
        <w:rPr>
          <w:rFonts w:ascii="Times New Roman" w:hAnsi="Times New Roman" w:cs="Times New Roman"/>
          <w:sz w:val="26"/>
          <w:szCs w:val="26"/>
        </w:rPr>
        <w:t xml:space="preserve">розраховується як відношення власного капіталу до підсумку балансу і показує питому вагу власного капіталу в загальній </w:t>
      </w:r>
      <w:r w:rsidRPr="00A13E4B">
        <w:rPr>
          <w:rFonts w:ascii="Times New Roman" w:hAnsi="Times New Roman" w:cs="Times New Roman"/>
          <w:sz w:val="26"/>
          <w:szCs w:val="26"/>
        </w:rPr>
        <w:lastRenderedPageBreak/>
        <w:t>сумі засобів, авансованих в його діяльність. На звітну дату становить 0.82, що на 0.07 менше ніж за попередній період.</w:t>
      </w:r>
    </w:p>
    <w:p w:rsidR="00602B32" w:rsidRPr="00A13E4B" w:rsidRDefault="00602B32" w:rsidP="007A1FD0">
      <w:pPr>
        <w:spacing w:line="276" w:lineRule="auto"/>
        <w:ind w:right="141" w:firstLine="567"/>
        <w:jc w:val="both"/>
        <w:rPr>
          <w:rFonts w:ascii="Times New Roman" w:hAnsi="Times New Roman" w:cs="Times New Roman"/>
          <w:b/>
          <w:sz w:val="26"/>
          <w:szCs w:val="26"/>
        </w:rPr>
      </w:pPr>
      <w:r w:rsidRPr="00A13E4B">
        <w:rPr>
          <w:rFonts w:ascii="Times New Roman" w:hAnsi="Times New Roman" w:cs="Times New Roman"/>
          <w:b/>
          <w:sz w:val="26"/>
          <w:szCs w:val="26"/>
        </w:rPr>
        <w:t xml:space="preserve">Коефіцієнт фінансової залежності </w:t>
      </w:r>
      <w:r w:rsidR="0019076F">
        <w:rPr>
          <w:rFonts w:ascii="Times New Roman" w:hAnsi="Times New Roman" w:cs="Times New Roman"/>
          <w:b/>
          <w:sz w:val="26"/>
          <w:szCs w:val="26"/>
        </w:rPr>
        <w:t>–</w:t>
      </w:r>
      <w:r w:rsidRPr="00A13E4B">
        <w:rPr>
          <w:rFonts w:ascii="Times New Roman" w:hAnsi="Times New Roman" w:cs="Times New Roman"/>
          <w:b/>
          <w:sz w:val="26"/>
          <w:szCs w:val="26"/>
        </w:rPr>
        <w:t xml:space="preserve"> </w:t>
      </w:r>
      <w:r w:rsidRPr="00A13E4B">
        <w:rPr>
          <w:rFonts w:ascii="Times New Roman" w:hAnsi="Times New Roman" w:cs="Times New Roman"/>
          <w:sz w:val="26"/>
          <w:szCs w:val="26"/>
        </w:rPr>
        <w:t>показник фінансової залежності є індикатором фінансової стійкості, який також вказує на здатність компанії проводити прогнозовану діяльність в довгостроковій перспективі. Показник є оберненим до показника фінансової автономії. Він розраховується як співвідношення пасивів до власного капіталу. Значення показника говорить про те, скільки фінансових ресурсів використовує компанія на кожну гривню власного капіталу.</w:t>
      </w:r>
    </w:p>
    <w:p w:rsidR="00602B32" w:rsidRPr="00A13E4B" w:rsidRDefault="00602B32"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Нормативне значення показника знаходиться в межах 1,67-2,5. </w:t>
      </w:r>
      <w:r w:rsidR="004C4599" w:rsidRPr="00A13E4B">
        <w:rPr>
          <w:rFonts w:ascii="Times New Roman" w:hAnsi="Times New Roman" w:cs="Times New Roman"/>
          <w:sz w:val="26"/>
          <w:szCs w:val="26"/>
        </w:rPr>
        <w:t xml:space="preserve">Станом на 2018 рік цей показник у Товариства дорівнює </w:t>
      </w:r>
      <w:r w:rsidR="004C4599" w:rsidRPr="00A13E4B">
        <w:rPr>
          <w:rFonts w:ascii="Times New Roman" w:hAnsi="Times New Roman" w:cs="Times New Roman"/>
          <w:color w:val="000000"/>
          <w:sz w:val="26"/>
          <w:szCs w:val="26"/>
        </w:rPr>
        <w:t xml:space="preserve">1,22, тобто </w:t>
      </w:r>
      <w:r w:rsidR="004C4599" w:rsidRPr="00A13E4B">
        <w:rPr>
          <w:rFonts w:ascii="Times New Roman" w:hAnsi="Times New Roman" w:cs="Times New Roman"/>
          <w:sz w:val="26"/>
          <w:szCs w:val="26"/>
        </w:rPr>
        <w:t xml:space="preserve">є меншим за нормативне значення. </w:t>
      </w:r>
    </w:p>
    <w:p w:rsidR="004C4599" w:rsidRPr="00A13E4B" w:rsidRDefault="004C4599"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b/>
          <w:sz w:val="26"/>
          <w:szCs w:val="26"/>
        </w:rPr>
        <w:t>Коефіцієнт маневреності власного капіталу</w:t>
      </w:r>
      <w:r w:rsidRPr="00A13E4B">
        <w:rPr>
          <w:rFonts w:ascii="Times New Roman" w:hAnsi="Times New Roman" w:cs="Times New Roman"/>
          <w:sz w:val="26"/>
          <w:szCs w:val="26"/>
        </w:rPr>
        <w:t xml:space="preserve"> показує, яка частина власного капіталу використовується для фінансування поточної діяльності, тобто вкладена в оборотні кошти, а яка – капіталізована. Коефіцієнт маневреності власного капіталу розраховується як відношення чистого оборотного капіталу до власного капіталу.</w:t>
      </w:r>
    </w:p>
    <w:p w:rsidR="004C4599" w:rsidRPr="00A13E4B" w:rsidRDefault="004C4599"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Нормативним вважається значення 0,1 і вище. Станом на 2018 рік коефіцієнт маневреності власного капіталу дорівнює </w:t>
      </w:r>
      <w:r w:rsidRPr="00A13E4B">
        <w:rPr>
          <w:rFonts w:ascii="Times New Roman" w:hAnsi="Times New Roman" w:cs="Times New Roman"/>
          <w:color w:val="000000"/>
          <w:sz w:val="26"/>
          <w:szCs w:val="26"/>
        </w:rPr>
        <w:t>0,24.</w:t>
      </w:r>
      <w:r w:rsidRPr="00A13E4B">
        <w:rPr>
          <w:rFonts w:ascii="Times New Roman" w:hAnsi="Times New Roman" w:cs="Times New Roman"/>
          <w:sz w:val="26"/>
          <w:szCs w:val="26"/>
        </w:rPr>
        <w:t xml:space="preserve"> Позитивне значення свідчить про достатність власних фінансових ресурсів для фінансування необоротних активів і частини оборотних.</w:t>
      </w:r>
    </w:p>
    <w:p w:rsidR="00955F39" w:rsidRPr="00A13E4B" w:rsidRDefault="004C4599" w:rsidP="007A1FD0">
      <w:pPr>
        <w:spacing w:line="276" w:lineRule="auto"/>
        <w:ind w:right="141" w:firstLine="567"/>
        <w:jc w:val="both"/>
        <w:rPr>
          <w:rFonts w:ascii="Times New Roman" w:hAnsi="Times New Roman" w:cs="Times New Roman"/>
          <w:color w:val="000000"/>
          <w:sz w:val="26"/>
          <w:szCs w:val="26"/>
        </w:rPr>
      </w:pPr>
      <w:r w:rsidRPr="00A13E4B">
        <w:rPr>
          <w:rFonts w:ascii="Times New Roman" w:hAnsi="Times New Roman" w:cs="Times New Roman"/>
          <w:b/>
          <w:color w:val="000000"/>
          <w:sz w:val="26"/>
          <w:szCs w:val="26"/>
        </w:rPr>
        <w:t xml:space="preserve">Коефіцієнт концентрації позикового капіталу </w:t>
      </w:r>
      <w:r w:rsidR="005C190B" w:rsidRPr="00A13E4B">
        <w:rPr>
          <w:rFonts w:ascii="Times New Roman" w:hAnsi="Times New Roman" w:cs="Times New Roman"/>
          <w:color w:val="000000"/>
          <w:sz w:val="26"/>
          <w:szCs w:val="26"/>
        </w:rPr>
        <w:t xml:space="preserve">вказує на рівень левереджа компанії. </w:t>
      </w:r>
      <w:r w:rsidR="00BB7A7C" w:rsidRPr="00A13E4B">
        <w:rPr>
          <w:rFonts w:ascii="Times New Roman" w:hAnsi="Times New Roman" w:cs="Times New Roman"/>
          <w:color w:val="000000"/>
          <w:sz w:val="26"/>
          <w:szCs w:val="26"/>
        </w:rPr>
        <w:t>Леверидж</w:t>
      </w:r>
      <w:r w:rsidR="005C190B" w:rsidRPr="00A13E4B">
        <w:rPr>
          <w:rFonts w:ascii="Times New Roman" w:hAnsi="Times New Roman" w:cs="Times New Roman"/>
          <w:color w:val="000000"/>
          <w:sz w:val="26"/>
          <w:szCs w:val="26"/>
        </w:rPr>
        <w:t xml:space="preserve"> означає використання фінансових інструментів або позикового капіталу з метою підвищення потенційної рентабельності інвестицій. У компанії, в якої сума позикового капіталу є значно вищою власного, рівень левер</w:t>
      </w:r>
      <w:r w:rsidR="00BB7A7C" w:rsidRPr="00A13E4B">
        <w:rPr>
          <w:rFonts w:ascii="Times New Roman" w:hAnsi="Times New Roman" w:cs="Times New Roman"/>
          <w:color w:val="000000"/>
          <w:sz w:val="26"/>
          <w:szCs w:val="26"/>
        </w:rPr>
        <w:t>и</w:t>
      </w:r>
      <w:r w:rsidR="005C190B" w:rsidRPr="00A13E4B">
        <w:rPr>
          <w:rFonts w:ascii="Times New Roman" w:hAnsi="Times New Roman" w:cs="Times New Roman"/>
          <w:color w:val="000000"/>
          <w:sz w:val="26"/>
          <w:szCs w:val="26"/>
        </w:rPr>
        <w:t>джа високий. У свою чергу, таке явище свідчить про високий рівень фінансових ризиків. Варто зауважити, що залучення позикового капіталу дозволяє забезпечити ріст компанії. Тому значна частина підприємств стабільно працює в умовах використання позикових коштів.</w:t>
      </w:r>
    </w:p>
    <w:p w:rsidR="005C190B" w:rsidRPr="00A13E4B" w:rsidRDefault="005C190B" w:rsidP="007A1FD0">
      <w:pPr>
        <w:spacing w:line="276" w:lineRule="auto"/>
        <w:ind w:right="141" w:firstLine="567"/>
        <w:jc w:val="both"/>
        <w:rPr>
          <w:rFonts w:ascii="Times New Roman" w:hAnsi="Times New Roman" w:cs="Times New Roman"/>
          <w:color w:val="000000"/>
          <w:sz w:val="26"/>
          <w:szCs w:val="26"/>
        </w:rPr>
      </w:pPr>
      <w:r w:rsidRPr="00A13E4B">
        <w:rPr>
          <w:rFonts w:ascii="Times New Roman" w:hAnsi="Times New Roman" w:cs="Times New Roman"/>
          <w:sz w:val="26"/>
          <w:szCs w:val="26"/>
        </w:rPr>
        <w:t xml:space="preserve">Нормативним вважається значення в межах 0,4 - 0,6. </w:t>
      </w:r>
      <w:r w:rsidRPr="00A13E4B">
        <w:rPr>
          <w:rFonts w:ascii="Times New Roman" w:hAnsi="Times New Roman" w:cs="Times New Roman"/>
          <w:color w:val="000000"/>
          <w:sz w:val="26"/>
          <w:szCs w:val="26"/>
        </w:rPr>
        <w:t>Коефіцієнт концентрації позикового капіталу у Товариства значно менший за но</w:t>
      </w:r>
      <w:r w:rsidR="007A1FD0">
        <w:rPr>
          <w:rFonts w:ascii="Times New Roman" w:hAnsi="Times New Roman" w:cs="Times New Roman"/>
          <w:color w:val="000000"/>
          <w:sz w:val="26"/>
          <w:szCs w:val="26"/>
        </w:rPr>
        <w:t>рмативний показник і дорівнює 0,</w:t>
      </w:r>
      <w:r w:rsidRPr="00A13E4B">
        <w:rPr>
          <w:rFonts w:ascii="Times New Roman" w:hAnsi="Times New Roman" w:cs="Times New Roman"/>
          <w:color w:val="000000"/>
          <w:sz w:val="26"/>
          <w:szCs w:val="26"/>
        </w:rPr>
        <w:t>18</w:t>
      </w:r>
      <w:r w:rsidR="00BB7A7C" w:rsidRPr="00A13E4B">
        <w:rPr>
          <w:rFonts w:ascii="Times New Roman" w:hAnsi="Times New Roman" w:cs="Times New Roman"/>
          <w:color w:val="000000"/>
          <w:sz w:val="26"/>
          <w:szCs w:val="26"/>
        </w:rPr>
        <w:t xml:space="preserve"> станом на 2018 рік</w:t>
      </w:r>
      <w:r w:rsidRPr="00A13E4B">
        <w:rPr>
          <w:rFonts w:ascii="Times New Roman" w:hAnsi="Times New Roman" w:cs="Times New Roman"/>
          <w:color w:val="000000"/>
          <w:sz w:val="26"/>
          <w:szCs w:val="26"/>
        </w:rPr>
        <w:t>.</w:t>
      </w:r>
    </w:p>
    <w:p w:rsidR="005C190B" w:rsidRPr="00A13E4B" w:rsidRDefault="005C190B" w:rsidP="007A1FD0">
      <w:pPr>
        <w:spacing w:line="276" w:lineRule="auto"/>
        <w:ind w:right="141" w:firstLine="567"/>
        <w:jc w:val="both"/>
        <w:rPr>
          <w:rFonts w:ascii="Times New Roman" w:hAnsi="Times New Roman" w:cs="Times New Roman"/>
          <w:color w:val="000000"/>
          <w:sz w:val="26"/>
          <w:szCs w:val="26"/>
        </w:rPr>
      </w:pPr>
      <w:r w:rsidRPr="00A13E4B">
        <w:rPr>
          <w:rFonts w:ascii="Times New Roman" w:hAnsi="Times New Roman" w:cs="Times New Roman"/>
          <w:b/>
          <w:color w:val="000000"/>
          <w:sz w:val="26"/>
          <w:szCs w:val="26"/>
        </w:rPr>
        <w:t>Коефіцієнт співвідношення позикових та власних коштів</w:t>
      </w:r>
      <w:r w:rsidR="007731E3" w:rsidRPr="00A13E4B">
        <w:rPr>
          <w:rFonts w:ascii="Times New Roman" w:hAnsi="Times New Roman" w:cs="Times New Roman"/>
          <w:b/>
          <w:color w:val="000000"/>
          <w:sz w:val="26"/>
          <w:szCs w:val="26"/>
        </w:rPr>
        <w:t xml:space="preserve"> </w:t>
      </w:r>
      <w:r w:rsidR="007731E3" w:rsidRPr="00A13E4B">
        <w:rPr>
          <w:rFonts w:ascii="Times New Roman" w:hAnsi="Times New Roman" w:cs="Times New Roman"/>
          <w:color w:val="000000"/>
          <w:sz w:val="26"/>
          <w:szCs w:val="26"/>
        </w:rPr>
        <w:t xml:space="preserve">характеризує структуру фінансових ресурсів підприємства. </w:t>
      </w:r>
      <w:r w:rsidR="007731E3" w:rsidRPr="00A13E4B">
        <w:rPr>
          <w:rFonts w:ascii="Times New Roman" w:hAnsi="Times New Roman" w:cs="Times New Roman"/>
          <w:color w:val="000000"/>
          <w:sz w:val="26"/>
          <w:szCs w:val="26"/>
          <w:lang w:val="ru-RU"/>
        </w:rPr>
        <w:t>Розраховується як частка від розподілу суми позикових коштів на суму власного капіталу. Максимально припустиме значення цього показника становить 1.</w:t>
      </w:r>
      <w:r w:rsidR="007731E3" w:rsidRPr="00A13E4B">
        <w:rPr>
          <w:rFonts w:ascii="Times New Roman" w:hAnsi="Times New Roman" w:cs="Times New Roman"/>
          <w:color w:val="000000"/>
          <w:sz w:val="26"/>
          <w:szCs w:val="26"/>
        </w:rPr>
        <w:t xml:space="preserve"> У Товариства </w:t>
      </w:r>
      <w:r w:rsidR="00BB7A7C" w:rsidRPr="00A13E4B">
        <w:rPr>
          <w:rFonts w:ascii="Times New Roman" w:hAnsi="Times New Roman" w:cs="Times New Roman"/>
          <w:color w:val="000000"/>
          <w:sz w:val="26"/>
          <w:szCs w:val="26"/>
        </w:rPr>
        <w:t xml:space="preserve">за 2018 рік </w:t>
      </w:r>
      <w:r w:rsidR="007731E3" w:rsidRPr="00A13E4B">
        <w:rPr>
          <w:rFonts w:ascii="Times New Roman" w:hAnsi="Times New Roman" w:cs="Times New Roman"/>
          <w:color w:val="000000"/>
          <w:sz w:val="26"/>
          <w:szCs w:val="26"/>
        </w:rPr>
        <w:t>становить 0</w:t>
      </w:r>
      <w:r w:rsidR="007A1FD0">
        <w:rPr>
          <w:rFonts w:ascii="Times New Roman" w:hAnsi="Times New Roman" w:cs="Times New Roman"/>
          <w:color w:val="000000"/>
          <w:sz w:val="26"/>
          <w:szCs w:val="26"/>
        </w:rPr>
        <w:t>,</w:t>
      </w:r>
      <w:r w:rsidR="007731E3" w:rsidRPr="00A13E4B">
        <w:rPr>
          <w:rFonts w:ascii="Times New Roman" w:hAnsi="Times New Roman" w:cs="Times New Roman"/>
          <w:color w:val="000000"/>
          <w:sz w:val="26"/>
          <w:szCs w:val="26"/>
        </w:rPr>
        <w:t>22.</w:t>
      </w:r>
    </w:p>
    <w:p w:rsidR="00EB11E4" w:rsidRPr="00A13E4B" w:rsidRDefault="007731E3" w:rsidP="007A1FD0">
      <w:pPr>
        <w:spacing w:line="276" w:lineRule="auto"/>
        <w:ind w:right="141" w:firstLine="567"/>
        <w:jc w:val="both"/>
        <w:rPr>
          <w:rFonts w:ascii="Times New Roman" w:hAnsi="Times New Roman" w:cs="Times New Roman"/>
          <w:color w:val="000000"/>
          <w:sz w:val="26"/>
          <w:szCs w:val="26"/>
        </w:rPr>
      </w:pPr>
      <w:r w:rsidRPr="00A13E4B">
        <w:rPr>
          <w:rFonts w:ascii="Times New Roman" w:hAnsi="Times New Roman" w:cs="Times New Roman"/>
          <w:b/>
          <w:color w:val="000000"/>
          <w:sz w:val="26"/>
          <w:szCs w:val="26"/>
        </w:rPr>
        <w:t xml:space="preserve">Коефіцієнт забезпечення власними засобами </w:t>
      </w:r>
      <w:r w:rsidRPr="00A13E4B">
        <w:rPr>
          <w:rFonts w:ascii="Times New Roman" w:hAnsi="Times New Roman" w:cs="Times New Roman"/>
          <w:color w:val="000000"/>
          <w:sz w:val="26"/>
          <w:szCs w:val="26"/>
        </w:rPr>
        <w:t xml:space="preserve">відноситься до групи показників фінансової стійкості та є індикатором здатності компанії фінансувати оборотний капітал за рахунок власних оборотних коштів. Коефіцієнт розраховується як співвідношення власних оборотних коштів до оборотних активів. Значення </w:t>
      </w:r>
      <w:r w:rsidRPr="00A13E4B">
        <w:rPr>
          <w:rFonts w:ascii="Times New Roman" w:hAnsi="Times New Roman" w:cs="Times New Roman"/>
          <w:color w:val="000000"/>
          <w:sz w:val="26"/>
          <w:szCs w:val="26"/>
        </w:rPr>
        <w:lastRenderedPageBreak/>
        <w:t>показника демонструє частку власних оборотних коштів у сумі оборотних активів компанії.</w:t>
      </w:r>
    </w:p>
    <w:p w:rsidR="007731E3" w:rsidRPr="00A13E4B" w:rsidRDefault="007731E3"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sz w:val="26"/>
          <w:szCs w:val="26"/>
        </w:rPr>
        <w:t>Нормативним значенням є 0,1 і вище. Значення у Товариства</w:t>
      </w:r>
      <w:r w:rsidR="00BB7A7C" w:rsidRPr="00A13E4B">
        <w:rPr>
          <w:rFonts w:ascii="Times New Roman" w:hAnsi="Times New Roman" w:cs="Times New Roman"/>
          <w:sz w:val="26"/>
          <w:szCs w:val="26"/>
        </w:rPr>
        <w:t xml:space="preserve"> станом на 2018 рік</w:t>
      </w:r>
      <w:r w:rsidRPr="00A13E4B">
        <w:rPr>
          <w:rFonts w:ascii="Times New Roman" w:hAnsi="Times New Roman" w:cs="Times New Roman"/>
          <w:sz w:val="26"/>
          <w:szCs w:val="26"/>
        </w:rPr>
        <w:t xml:space="preserve"> становить </w:t>
      </w:r>
      <w:r w:rsidRPr="00A13E4B">
        <w:rPr>
          <w:rFonts w:ascii="Times New Roman" w:hAnsi="Times New Roman" w:cs="Times New Roman"/>
          <w:color w:val="000000"/>
          <w:sz w:val="26"/>
          <w:szCs w:val="26"/>
        </w:rPr>
        <w:t xml:space="preserve">0,523. </w:t>
      </w:r>
      <w:r w:rsidRPr="00A13E4B">
        <w:rPr>
          <w:rFonts w:ascii="Times New Roman" w:hAnsi="Times New Roman" w:cs="Times New Roman"/>
          <w:sz w:val="26"/>
          <w:szCs w:val="26"/>
        </w:rPr>
        <w:t>Значення нижче нормативного свідчить про значну фінансову залежність підприємства від зовнішніх кредиторів. В умовах погіршення ринкової ситуації компанія, в такому випадку, не зможе продовжити свою діяльність. Негативне значення показника говорить про те, що весь власний капітал і довгострокові джерела спрямовані на фінансування необоротних активів і в компанії немає довгострокових коштів для формування власного оборотного капіталу.</w:t>
      </w:r>
    </w:p>
    <w:p w:rsidR="007731E3" w:rsidRPr="00A13E4B" w:rsidRDefault="007731E3" w:rsidP="007A1FD0">
      <w:pPr>
        <w:spacing w:line="276" w:lineRule="auto"/>
        <w:ind w:right="141" w:firstLine="567"/>
        <w:jc w:val="both"/>
        <w:rPr>
          <w:rFonts w:ascii="Times New Roman" w:hAnsi="Times New Roman" w:cs="Times New Roman"/>
          <w:color w:val="000000"/>
          <w:sz w:val="26"/>
          <w:szCs w:val="26"/>
        </w:rPr>
      </w:pPr>
      <w:r w:rsidRPr="00A13E4B">
        <w:rPr>
          <w:rFonts w:ascii="Times New Roman" w:hAnsi="Times New Roman" w:cs="Times New Roman"/>
          <w:b/>
          <w:color w:val="000000"/>
          <w:sz w:val="26"/>
          <w:szCs w:val="26"/>
        </w:rPr>
        <w:t xml:space="preserve">Показник фінансового левериджу </w:t>
      </w:r>
      <w:r w:rsidRPr="00A13E4B">
        <w:rPr>
          <w:rFonts w:ascii="Times New Roman" w:hAnsi="Times New Roman" w:cs="Times New Roman"/>
          <w:color w:val="000000"/>
          <w:sz w:val="26"/>
          <w:szCs w:val="26"/>
        </w:rPr>
        <w:t>відображає співвідношення довгострокових позикових засобів і власного капіталу підприємства. Даний показник використовується для оцінювання ефекту фінансового важеля</w:t>
      </w:r>
      <w:r w:rsidRPr="00A13E4B">
        <w:rPr>
          <w:rFonts w:ascii="Times New Roman" w:hAnsi="Times New Roman" w:cs="Times New Roman"/>
          <w:b/>
          <w:color w:val="000000"/>
          <w:sz w:val="26"/>
          <w:szCs w:val="26"/>
        </w:rPr>
        <w:t xml:space="preserve">.  </w:t>
      </w:r>
      <w:r w:rsidRPr="00A13E4B">
        <w:rPr>
          <w:rFonts w:ascii="Times New Roman" w:hAnsi="Times New Roman" w:cs="Times New Roman"/>
          <w:color w:val="000000"/>
          <w:sz w:val="26"/>
          <w:szCs w:val="26"/>
        </w:rPr>
        <w:t>Показник фінансового левериджу у Товариства</w:t>
      </w:r>
      <w:r w:rsidR="00BB7A7C" w:rsidRPr="00A13E4B">
        <w:rPr>
          <w:rFonts w:ascii="Times New Roman" w:hAnsi="Times New Roman" w:cs="Times New Roman"/>
          <w:color w:val="000000"/>
          <w:sz w:val="26"/>
          <w:szCs w:val="26"/>
        </w:rPr>
        <w:t xml:space="preserve"> за 2018 рік</w:t>
      </w:r>
      <w:r w:rsidRPr="00A13E4B">
        <w:rPr>
          <w:rFonts w:ascii="Times New Roman" w:hAnsi="Times New Roman" w:cs="Times New Roman"/>
          <w:color w:val="000000"/>
          <w:sz w:val="26"/>
          <w:szCs w:val="26"/>
        </w:rPr>
        <w:t xml:space="preserve"> становить 0,22</w:t>
      </w:r>
      <w:r w:rsidR="00BB7A7C" w:rsidRPr="00A13E4B">
        <w:rPr>
          <w:rFonts w:ascii="Times New Roman" w:hAnsi="Times New Roman" w:cs="Times New Roman"/>
          <w:color w:val="000000"/>
          <w:sz w:val="26"/>
          <w:szCs w:val="26"/>
        </w:rPr>
        <w:t>, що більше на 0</w:t>
      </w:r>
      <w:r w:rsidR="007A1FD0">
        <w:rPr>
          <w:rFonts w:ascii="Times New Roman" w:hAnsi="Times New Roman" w:cs="Times New Roman"/>
          <w:color w:val="000000"/>
          <w:sz w:val="26"/>
          <w:szCs w:val="26"/>
        </w:rPr>
        <w:t>,</w:t>
      </w:r>
      <w:r w:rsidR="00BB7A7C" w:rsidRPr="00A13E4B">
        <w:rPr>
          <w:rFonts w:ascii="Times New Roman" w:hAnsi="Times New Roman" w:cs="Times New Roman"/>
          <w:color w:val="000000"/>
          <w:sz w:val="26"/>
          <w:szCs w:val="26"/>
        </w:rPr>
        <w:t xml:space="preserve">10 ніж за минулій рік. </w:t>
      </w:r>
      <w:r w:rsidRPr="00A13E4B">
        <w:rPr>
          <w:rFonts w:ascii="Times New Roman" w:hAnsi="Times New Roman" w:cs="Times New Roman"/>
          <w:color w:val="000000"/>
          <w:sz w:val="26"/>
          <w:szCs w:val="26"/>
        </w:rPr>
        <w:t xml:space="preserve">У разі, коли значення диференціалу фінансового важеля більше нуля і спостерігається його зростання у динаміці, позитивно розцінюється підвищення коефіцієнту фінансового левериджу, адже це сприяє зростанню рентабельності власного капіталу. </w:t>
      </w:r>
    </w:p>
    <w:p w:rsidR="00BB7A7C" w:rsidRPr="00A13E4B" w:rsidRDefault="00BB7A7C"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b/>
          <w:sz w:val="26"/>
          <w:szCs w:val="26"/>
        </w:rPr>
        <w:t>Поточна платоспроможність</w:t>
      </w:r>
      <w:r w:rsidRPr="00A13E4B">
        <w:rPr>
          <w:rFonts w:ascii="Times New Roman" w:hAnsi="Times New Roman" w:cs="Times New Roman"/>
          <w:sz w:val="26"/>
          <w:szCs w:val="26"/>
        </w:rPr>
        <w:t xml:space="preserve"> показує співвідношення оборотних активів і поточних зобов'язань. Оборотні активи </w:t>
      </w:r>
      <w:r w:rsidR="00B4727B">
        <w:rPr>
          <w:rFonts w:ascii="Times New Roman" w:hAnsi="Times New Roman" w:cs="Times New Roman"/>
          <w:sz w:val="26"/>
          <w:szCs w:val="26"/>
        </w:rPr>
        <w:t>–</w:t>
      </w:r>
      <w:r w:rsidRPr="00A13E4B">
        <w:rPr>
          <w:rFonts w:ascii="Times New Roman" w:hAnsi="Times New Roman" w:cs="Times New Roman"/>
          <w:sz w:val="26"/>
          <w:szCs w:val="26"/>
        </w:rPr>
        <w:t xml:space="preserve"> це середньо- і високоліквідна частина активів підприємства. Особливість оборотних активів порівняно з необоротними полягає в тому, що вони можуть бути перетворені в грошові кошти протягом одного року (якщо період одного виробничого циклу вищий одного року, то протягом одного виробничого циклу). Показник поточної платоспроможності </w:t>
      </w:r>
      <w:r w:rsidR="00B4727B">
        <w:rPr>
          <w:rFonts w:ascii="Times New Roman" w:hAnsi="Times New Roman" w:cs="Times New Roman"/>
          <w:sz w:val="26"/>
          <w:szCs w:val="26"/>
        </w:rPr>
        <w:t>–</w:t>
      </w:r>
      <w:r w:rsidRPr="00A13E4B">
        <w:rPr>
          <w:rFonts w:ascii="Times New Roman" w:hAnsi="Times New Roman" w:cs="Times New Roman"/>
          <w:sz w:val="26"/>
          <w:szCs w:val="26"/>
        </w:rPr>
        <w:t xml:space="preserve"> це індикатор здатності компанії відповідати за поточними зобов'язаннями за допомогою оборотних активів. Показник демонструє, скільки в компанії є гривень оборотних коштів на кожну гривню поточних зобов'язань.</w:t>
      </w:r>
    </w:p>
    <w:p w:rsidR="00BB7A7C" w:rsidRDefault="009B5B1F"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Проаналізувавши показники ліквідності та</w:t>
      </w:r>
      <w:r w:rsidR="00D5791C" w:rsidRPr="00A13E4B">
        <w:rPr>
          <w:rFonts w:ascii="Times New Roman" w:hAnsi="Times New Roman" w:cs="Times New Roman"/>
          <w:sz w:val="26"/>
          <w:szCs w:val="26"/>
        </w:rPr>
        <w:t xml:space="preserve"> фінансової стійкості, можна зробити висновок, що</w:t>
      </w:r>
      <w:r w:rsidR="00625A97" w:rsidRPr="00A13E4B">
        <w:rPr>
          <w:rFonts w:ascii="Times New Roman" w:hAnsi="Times New Roman" w:cs="Times New Roman"/>
          <w:sz w:val="26"/>
          <w:szCs w:val="26"/>
        </w:rPr>
        <w:t xml:space="preserve"> </w:t>
      </w:r>
      <w:r w:rsidR="00D5791C" w:rsidRPr="00A13E4B">
        <w:rPr>
          <w:rFonts w:ascii="Times New Roman" w:hAnsi="Times New Roman" w:cs="Times New Roman"/>
          <w:sz w:val="26"/>
          <w:szCs w:val="26"/>
        </w:rPr>
        <w:t xml:space="preserve">має незначний фінансовий ризик, проте має нормально </w:t>
      </w:r>
      <w:r w:rsidR="00684E33" w:rsidRPr="00A13E4B">
        <w:rPr>
          <w:rFonts w:ascii="Times New Roman" w:hAnsi="Times New Roman" w:cs="Times New Roman"/>
          <w:sz w:val="26"/>
          <w:szCs w:val="26"/>
        </w:rPr>
        <w:t>–</w:t>
      </w:r>
      <w:r w:rsidR="00D5791C" w:rsidRPr="00A13E4B">
        <w:rPr>
          <w:rFonts w:ascii="Times New Roman" w:hAnsi="Times New Roman" w:cs="Times New Roman"/>
          <w:sz w:val="26"/>
          <w:szCs w:val="26"/>
        </w:rPr>
        <w:t xml:space="preserve"> стійте фінансове становище на дату складання фінансової звітності, а отже запаси і витрати забезпечуються сумою власних оборотних коштів</w:t>
      </w:r>
      <w:r w:rsidR="003C72F3" w:rsidRPr="00A13E4B">
        <w:rPr>
          <w:rFonts w:ascii="Times New Roman" w:hAnsi="Times New Roman" w:cs="Times New Roman"/>
          <w:sz w:val="26"/>
          <w:szCs w:val="26"/>
        </w:rPr>
        <w:t>.</w:t>
      </w:r>
    </w:p>
    <w:p w:rsidR="009D0D25" w:rsidRPr="00A13E4B" w:rsidRDefault="009D0D25" w:rsidP="007A1FD0">
      <w:pPr>
        <w:spacing w:line="276" w:lineRule="auto"/>
        <w:ind w:right="142" w:firstLine="567"/>
        <w:jc w:val="both"/>
        <w:rPr>
          <w:rFonts w:ascii="Times New Roman" w:hAnsi="Times New Roman" w:cs="Times New Roman"/>
          <w:b/>
          <w:sz w:val="26"/>
          <w:szCs w:val="26"/>
        </w:rPr>
      </w:pPr>
    </w:p>
    <w:p w:rsidR="007C5B9F" w:rsidRPr="00A13E4B" w:rsidRDefault="006A3926" w:rsidP="007A1FD0">
      <w:pPr>
        <w:pStyle w:val="a3"/>
        <w:numPr>
          <w:ilvl w:val="0"/>
          <w:numId w:val="4"/>
        </w:numPr>
        <w:spacing w:line="276" w:lineRule="auto"/>
        <w:ind w:left="1134" w:right="142" w:hanging="567"/>
        <w:jc w:val="both"/>
        <w:rPr>
          <w:rFonts w:ascii="Times New Roman" w:hAnsi="Times New Roman" w:cs="Times New Roman"/>
          <w:sz w:val="26"/>
          <w:szCs w:val="26"/>
        </w:rPr>
      </w:pPr>
      <w:r w:rsidRPr="00A13E4B">
        <w:rPr>
          <w:rFonts w:ascii="Times New Roman" w:hAnsi="Times New Roman" w:cs="Times New Roman"/>
          <w:b/>
          <w:sz w:val="26"/>
          <w:szCs w:val="26"/>
        </w:rPr>
        <w:t>Екологічні аспекти</w:t>
      </w:r>
    </w:p>
    <w:p w:rsidR="006246D6" w:rsidRPr="00A13E4B" w:rsidRDefault="006246D6"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Питання екологічної відповідальності з кожним роком привертає до себе все більше уваги та потребує раціональних та прискорених шляхів вирішення проблем, що накопичуються у зв’язку зі зростанням техногенних та екологічних катастроф, а також останнім часом з підсиленим інтересом до здорового способу життя.</w:t>
      </w:r>
    </w:p>
    <w:p w:rsidR="00CF01D5" w:rsidRPr="00A13E4B" w:rsidRDefault="00CF01D5"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За останні роки в нашій державі набули широкого впровадження функціональний підхід екологічних аспектів функціонування підприємств. Визначені основні пріоритетні напрями екологічної політики держави, серед яких - розвиток екологічного законодавства, вдосконалення державного управління довкіллям та економічного механізму природокористування, створення ефективної </w:t>
      </w:r>
      <w:r w:rsidRPr="00A13E4B">
        <w:rPr>
          <w:rFonts w:ascii="Times New Roman" w:hAnsi="Times New Roman" w:cs="Times New Roman"/>
          <w:sz w:val="26"/>
          <w:szCs w:val="26"/>
        </w:rPr>
        <w:lastRenderedPageBreak/>
        <w:t>системи контролю та моніторингу довкілля, формування нової екологічної свідомості тощо.</w:t>
      </w:r>
      <w:r w:rsidR="006246D6" w:rsidRPr="00A13E4B">
        <w:rPr>
          <w:rFonts w:ascii="Times New Roman" w:hAnsi="Times New Roman" w:cs="Times New Roman"/>
          <w:sz w:val="26"/>
          <w:szCs w:val="26"/>
        </w:rPr>
        <w:t xml:space="preserve"> </w:t>
      </w:r>
    </w:p>
    <w:p w:rsidR="006246D6" w:rsidRPr="00A13E4B" w:rsidRDefault="006246D6"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Перехід до сталого розвитку вимагає значних змін в економічній та соціальній сфері в розрізі зменшення негативного впливу на навколишнє середовище. Із розглядом виробничої діяльності постає питання екологічної відповідальності бізнесу. Фактично екологічна відповідальність бізнесу є частиною корпоративної соціальної відповідальності. </w:t>
      </w:r>
    </w:p>
    <w:p w:rsidR="006246D6" w:rsidRPr="00A13E4B" w:rsidRDefault="006246D6"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Під екологічною відповідальністю бізнесу розуміють дії, які приносять користь навколишньому середовищу (або зменшують негативний вплив бізнесу на навколишнє середовище) і виходять за межі того, що компанії зобов'язані робити за законом. Екологічна відповідальність бізнесу передбачає зобов'язання осіб, що приймають рішення, запроваджувати дії, спрямовані на захист і поліпшення стану навколишнього середовища загалом, і які також відповідають їх власним інтересам. Сьогодні корпоративна соціальна відповідальність, екологічна відповідальність бізнесу зокрема, мають значення, проте вони не є визначальними аспектами бізнес-стратегій підприємств. </w:t>
      </w:r>
    </w:p>
    <w:p w:rsidR="003873FA" w:rsidRPr="00A13E4B" w:rsidRDefault="003C2B3B"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sz w:val="26"/>
          <w:szCs w:val="26"/>
        </w:rPr>
        <w:t>Товариство</w:t>
      </w:r>
      <w:r w:rsidR="003873FA" w:rsidRPr="00A13E4B">
        <w:rPr>
          <w:rFonts w:ascii="Times New Roman" w:hAnsi="Times New Roman" w:cs="Times New Roman"/>
          <w:sz w:val="26"/>
          <w:szCs w:val="26"/>
        </w:rPr>
        <w:t xml:space="preserve"> сплачує екологічний податок за викиди забруднюючих речовин в атмосферне повітря стаціонарними джерелами забруднення.</w:t>
      </w:r>
    </w:p>
    <w:p w:rsidR="007C5B9F" w:rsidRPr="00A13E4B" w:rsidRDefault="007C5B9F"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sz w:val="26"/>
          <w:szCs w:val="26"/>
        </w:rPr>
        <w:t>Екологічний податок – це загальнодержавний обов'язковий платіж, що справляється з фактичних обсягів викидів у атмосферне повітря, скидів у водні об'єкти забруднюючих речовин, розміщення відходів, фактичного обсягу радіоактивних відходів, що тимчасово зберігаються їх виробниками, фактичного обсягу утворених радіоактивних відходів та з фактичного обсягу радіоактивних відходів, накопичених до 01 квітня 2009 року.</w:t>
      </w:r>
    </w:p>
    <w:p w:rsidR="006246D6" w:rsidRPr="00A13E4B" w:rsidRDefault="006246D6"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Існування екологічного податку зумовлено необхідністю часткової компенсації негативного впливу на природу різного роду шкідливих та небезпечних факторів, що виникають у процесі господарської діяльності суб'єктів. У зв'язку з тим, що такий вплив є об'єктивно неминучим, передбачено економічне стимулювання суб'єктів господарювання до скорочення забруднення навколишнього середовища.</w:t>
      </w:r>
    </w:p>
    <w:p w:rsidR="006246D6" w:rsidRPr="00A13E4B" w:rsidRDefault="006246D6"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Умовами сплати екологічного податку є провадження діяльності на території України і в межах її континентального шельфу та виключної (морської) економічної зони, а також здійснення викидів забруднюючих речовин в атмосферу пересувними джерелами забруднення у разі використання палива відповідними категоріями платників податку.</w:t>
      </w:r>
    </w:p>
    <w:p w:rsidR="003C2B3B" w:rsidRPr="00A13E4B" w:rsidRDefault="003C2B3B"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Товариство подає податкову декларацію з екологічного податку</w:t>
      </w:r>
      <w:r w:rsidR="00E675EE" w:rsidRPr="00A13E4B">
        <w:rPr>
          <w:rFonts w:ascii="Times New Roman" w:hAnsi="Times New Roman" w:cs="Times New Roman"/>
          <w:sz w:val="26"/>
          <w:szCs w:val="26"/>
        </w:rPr>
        <w:t xml:space="preserve"> з розрахунком за викиди забруднюючих речовин в атмосферне повітря стаціонарними джерелами забруднення</w:t>
      </w:r>
      <w:r w:rsidRPr="00A13E4B">
        <w:rPr>
          <w:rFonts w:ascii="Times New Roman" w:hAnsi="Times New Roman" w:cs="Times New Roman"/>
          <w:sz w:val="26"/>
          <w:szCs w:val="26"/>
        </w:rPr>
        <w:t xml:space="preserve"> щоквартально </w:t>
      </w:r>
      <w:r w:rsidR="00E675EE" w:rsidRPr="00A13E4B">
        <w:rPr>
          <w:rFonts w:ascii="Times New Roman" w:hAnsi="Times New Roman" w:cs="Times New Roman"/>
          <w:sz w:val="26"/>
          <w:szCs w:val="26"/>
        </w:rPr>
        <w:t xml:space="preserve">до ДПІ у Голосіївському районі ГУ ДФС у м. Києві, ДПІ у Печерському районі </w:t>
      </w:r>
      <w:r w:rsidR="009C7548" w:rsidRPr="00A13E4B">
        <w:rPr>
          <w:rFonts w:ascii="Times New Roman" w:hAnsi="Times New Roman" w:cs="Times New Roman"/>
          <w:sz w:val="26"/>
          <w:szCs w:val="26"/>
        </w:rPr>
        <w:t xml:space="preserve">ГУ </w:t>
      </w:r>
      <w:r w:rsidR="00E675EE" w:rsidRPr="00A13E4B">
        <w:rPr>
          <w:rFonts w:ascii="Times New Roman" w:hAnsi="Times New Roman" w:cs="Times New Roman"/>
          <w:sz w:val="26"/>
          <w:szCs w:val="26"/>
        </w:rPr>
        <w:t>ДФС у м. Києві та Вишгородської ОДПІ Ірпінське відділення.</w:t>
      </w:r>
    </w:p>
    <w:p w:rsidR="00E675EE" w:rsidRPr="00A13E4B" w:rsidRDefault="00E675EE"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До ДПІ у Голосіївському районі ГУ ДФС у м. Києві Товариством сплачено:</w:t>
      </w:r>
    </w:p>
    <w:p w:rsidR="00E675EE" w:rsidRPr="00A13E4B" w:rsidRDefault="00E675EE" w:rsidP="009D0D25">
      <w:pPr>
        <w:pStyle w:val="a3"/>
        <w:numPr>
          <w:ilvl w:val="0"/>
          <w:numId w:val="8"/>
        </w:numPr>
        <w:spacing w:line="276" w:lineRule="auto"/>
        <w:ind w:left="0" w:right="142" w:firstLine="0"/>
        <w:jc w:val="both"/>
        <w:rPr>
          <w:rFonts w:ascii="Times New Roman" w:hAnsi="Times New Roman" w:cs="Times New Roman"/>
          <w:sz w:val="26"/>
          <w:szCs w:val="26"/>
        </w:rPr>
      </w:pPr>
      <w:r w:rsidRPr="00A13E4B">
        <w:rPr>
          <w:rFonts w:ascii="Times New Roman" w:hAnsi="Times New Roman" w:cs="Times New Roman"/>
          <w:sz w:val="26"/>
          <w:szCs w:val="26"/>
        </w:rPr>
        <w:t xml:space="preserve">За </w:t>
      </w:r>
      <w:r w:rsidRPr="00A13E4B">
        <w:rPr>
          <w:rFonts w:ascii="Times New Roman" w:hAnsi="Times New Roman" w:cs="Times New Roman"/>
          <w:sz w:val="26"/>
          <w:szCs w:val="26"/>
          <w:lang w:val="en-US"/>
        </w:rPr>
        <w:t>I</w:t>
      </w:r>
      <w:r w:rsidRPr="00A13E4B">
        <w:rPr>
          <w:rFonts w:ascii="Times New Roman" w:hAnsi="Times New Roman" w:cs="Times New Roman"/>
          <w:sz w:val="26"/>
          <w:szCs w:val="26"/>
          <w:lang w:val="ru-RU"/>
        </w:rPr>
        <w:t xml:space="preserve"> </w:t>
      </w:r>
      <w:r w:rsidRPr="00A13E4B">
        <w:rPr>
          <w:rFonts w:ascii="Times New Roman" w:hAnsi="Times New Roman" w:cs="Times New Roman"/>
          <w:sz w:val="26"/>
          <w:szCs w:val="26"/>
        </w:rPr>
        <w:t xml:space="preserve">квартал 2018го року  </w:t>
      </w:r>
      <w:r w:rsidRPr="00A13E4B">
        <w:rPr>
          <w:rFonts w:ascii="Times New Roman" w:hAnsi="Times New Roman" w:cs="Times New Roman"/>
          <w:sz w:val="26"/>
          <w:szCs w:val="26"/>
          <w:lang w:val="ru-RU"/>
        </w:rPr>
        <w:t xml:space="preserve">- 37.64 </w:t>
      </w:r>
      <w:r w:rsidRPr="00A13E4B">
        <w:rPr>
          <w:rFonts w:ascii="Times New Roman" w:hAnsi="Times New Roman" w:cs="Times New Roman"/>
          <w:sz w:val="26"/>
          <w:szCs w:val="26"/>
        </w:rPr>
        <w:t>грн.</w:t>
      </w:r>
    </w:p>
    <w:p w:rsidR="00E675EE" w:rsidRPr="00A13E4B" w:rsidRDefault="00E675EE" w:rsidP="009D0D25">
      <w:pPr>
        <w:pStyle w:val="a3"/>
        <w:numPr>
          <w:ilvl w:val="0"/>
          <w:numId w:val="8"/>
        </w:numPr>
        <w:spacing w:line="276" w:lineRule="auto"/>
        <w:ind w:left="0" w:right="142" w:firstLine="0"/>
        <w:jc w:val="both"/>
        <w:rPr>
          <w:rFonts w:ascii="Times New Roman" w:hAnsi="Times New Roman" w:cs="Times New Roman"/>
          <w:sz w:val="26"/>
          <w:szCs w:val="26"/>
          <w:lang w:val="ru-RU"/>
        </w:rPr>
      </w:pPr>
      <w:r w:rsidRPr="00A13E4B">
        <w:rPr>
          <w:rFonts w:ascii="Times New Roman" w:hAnsi="Times New Roman" w:cs="Times New Roman"/>
          <w:sz w:val="26"/>
          <w:szCs w:val="26"/>
        </w:rPr>
        <w:lastRenderedPageBreak/>
        <w:t xml:space="preserve">За </w:t>
      </w:r>
      <w:r w:rsidRPr="00A13E4B">
        <w:rPr>
          <w:rFonts w:ascii="Times New Roman" w:hAnsi="Times New Roman" w:cs="Times New Roman"/>
          <w:sz w:val="26"/>
          <w:szCs w:val="26"/>
          <w:lang w:val="en-US"/>
        </w:rPr>
        <w:t>II</w:t>
      </w:r>
      <w:r w:rsidRPr="00A13E4B">
        <w:rPr>
          <w:rFonts w:ascii="Times New Roman" w:hAnsi="Times New Roman" w:cs="Times New Roman"/>
          <w:sz w:val="26"/>
          <w:szCs w:val="26"/>
          <w:lang w:val="ru-RU"/>
        </w:rPr>
        <w:t xml:space="preserve"> </w:t>
      </w:r>
      <w:r w:rsidRPr="00A13E4B">
        <w:rPr>
          <w:rFonts w:ascii="Times New Roman" w:hAnsi="Times New Roman" w:cs="Times New Roman"/>
          <w:sz w:val="26"/>
          <w:szCs w:val="26"/>
        </w:rPr>
        <w:t xml:space="preserve">квартал 2018го року  </w:t>
      </w:r>
      <w:r w:rsidRPr="00A13E4B">
        <w:rPr>
          <w:rFonts w:ascii="Times New Roman" w:hAnsi="Times New Roman" w:cs="Times New Roman"/>
          <w:sz w:val="26"/>
          <w:szCs w:val="26"/>
          <w:lang w:val="ru-RU"/>
        </w:rPr>
        <w:t>- 38.38 грн.</w:t>
      </w:r>
    </w:p>
    <w:p w:rsidR="00E675EE" w:rsidRPr="00A13E4B" w:rsidRDefault="00E675EE" w:rsidP="009D0D25">
      <w:pPr>
        <w:pStyle w:val="a3"/>
        <w:numPr>
          <w:ilvl w:val="0"/>
          <w:numId w:val="8"/>
        </w:numPr>
        <w:spacing w:line="276" w:lineRule="auto"/>
        <w:ind w:left="0" w:right="142" w:firstLine="0"/>
        <w:jc w:val="both"/>
        <w:rPr>
          <w:rFonts w:ascii="Times New Roman" w:hAnsi="Times New Roman" w:cs="Times New Roman"/>
          <w:sz w:val="26"/>
          <w:szCs w:val="26"/>
          <w:lang w:val="ru-RU"/>
        </w:rPr>
      </w:pPr>
      <w:r w:rsidRPr="00A13E4B">
        <w:rPr>
          <w:rFonts w:ascii="Times New Roman" w:hAnsi="Times New Roman" w:cs="Times New Roman"/>
          <w:sz w:val="26"/>
          <w:szCs w:val="26"/>
        </w:rPr>
        <w:t xml:space="preserve">За </w:t>
      </w:r>
      <w:r w:rsidRPr="00A13E4B">
        <w:rPr>
          <w:rFonts w:ascii="Times New Roman" w:hAnsi="Times New Roman" w:cs="Times New Roman"/>
          <w:sz w:val="26"/>
          <w:szCs w:val="26"/>
          <w:lang w:val="en-US"/>
        </w:rPr>
        <w:t>III</w:t>
      </w:r>
      <w:r w:rsidRPr="00A13E4B">
        <w:rPr>
          <w:rFonts w:ascii="Times New Roman" w:hAnsi="Times New Roman" w:cs="Times New Roman"/>
          <w:sz w:val="26"/>
          <w:szCs w:val="26"/>
          <w:lang w:val="ru-RU"/>
        </w:rPr>
        <w:t xml:space="preserve"> </w:t>
      </w:r>
      <w:r w:rsidRPr="00A13E4B">
        <w:rPr>
          <w:rFonts w:ascii="Times New Roman" w:hAnsi="Times New Roman" w:cs="Times New Roman"/>
          <w:sz w:val="26"/>
          <w:szCs w:val="26"/>
        </w:rPr>
        <w:t xml:space="preserve">квартал 2018го року  </w:t>
      </w:r>
      <w:r w:rsidRPr="00A13E4B">
        <w:rPr>
          <w:rFonts w:ascii="Times New Roman" w:hAnsi="Times New Roman" w:cs="Times New Roman"/>
          <w:sz w:val="26"/>
          <w:szCs w:val="26"/>
          <w:lang w:val="ru-RU"/>
        </w:rPr>
        <w:t xml:space="preserve"> - 44.85 грн.</w:t>
      </w:r>
    </w:p>
    <w:p w:rsidR="00081662" w:rsidRPr="006957A7" w:rsidRDefault="00E675EE" w:rsidP="006957A7">
      <w:pPr>
        <w:pStyle w:val="a3"/>
        <w:numPr>
          <w:ilvl w:val="0"/>
          <w:numId w:val="8"/>
        </w:numPr>
        <w:spacing w:line="276" w:lineRule="auto"/>
        <w:ind w:left="0" w:right="142" w:firstLine="0"/>
        <w:jc w:val="both"/>
        <w:rPr>
          <w:rFonts w:ascii="Times New Roman" w:hAnsi="Times New Roman" w:cs="Times New Roman"/>
          <w:sz w:val="26"/>
          <w:szCs w:val="26"/>
          <w:lang w:val="ru-RU"/>
        </w:rPr>
      </w:pPr>
      <w:r w:rsidRPr="00A13E4B">
        <w:rPr>
          <w:rFonts w:ascii="Times New Roman" w:hAnsi="Times New Roman" w:cs="Times New Roman"/>
          <w:sz w:val="26"/>
          <w:szCs w:val="26"/>
        </w:rPr>
        <w:t xml:space="preserve">За </w:t>
      </w:r>
      <w:r w:rsidRPr="00A13E4B">
        <w:rPr>
          <w:rFonts w:ascii="Times New Roman" w:hAnsi="Times New Roman" w:cs="Times New Roman"/>
          <w:sz w:val="26"/>
          <w:szCs w:val="26"/>
          <w:lang w:val="en-US"/>
        </w:rPr>
        <w:t>IV</w:t>
      </w:r>
      <w:r w:rsidRPr="00A13E4B">
        <w:rPr>
          <w:rFonts w:ascii="Times New Roman" w:hAnsi="Times New Roman" w:cs="Times New Roman"/>
          <w:sz w:val="26"/>
          <w:szCs w:val="26"/>
          <w:lang w:val="ru-RU"/>
        </w:rPr>
        <w:t xml:space="preserve"> </w:t>
      </w:r>
      <w:r w:rsidRPr="00A13E4B">
        <w:rPr>
          <w:rFonts w:ascii="Times New Roman" w:hAnsi="Times New Roman" w:cs="Times New Roman"/>
          <w:sz w:val="26"/>
          <w:szCs w:val="26"/>
        </w:rPr>
        <w:t xml:space="preserve">квартал 2018го року  </w:t>
      </w:r>
      <w:r w:rsidRPr="00A13E4B">
        <w:rPr>
          <w:rFonts w:ascii="Times New Roman" w:hAnsi="Times New Roman" w:cs="Times New Roman"/>
          <w:sz w:val="26"/>
          <w:szCs w:val="26"/>
          <w:lang w:val="ru-RU"/>
        </w:rPr>
        <w:t>- 38.15 грн.</w:t>
      </w:r>
    </w:p>
    <w:p w:rsidR="00E675EE" w:rsidRPr="00A13E4B" w:rsidRDefault="003C72F3" w:rsidP="009D0D25">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До ДПІ у Печерському районі </w:t>
      </w:r>
      <w:r w:rsidR="009C7548" w:rsidRPr="00A13E4B">
        <w:rPr>
          <w:rFonts w:ascii="Times New Roman" w:hAnsi="Times New Roman" w:cs="Times New Roman"/>
          <w:sz w:val="26"/>
          <w:szCs w:val="26"/>
        </w:rPr>
        <w:t xml:space="preserve">ГУ </w:t>
      </w:r>
      <w:r w:rsidRPr="00A13E4B">
        <w:rPr>
          <w:rFonts w:ascii="Times New Roman" w:hAnsi="Times New Roman" w:cs="Times New Roman"/>
          <w:sz w:val="26"/>
          <w:szCs w:val="26"/>
        </w:rPr>
        <w:t>ДФС у м. Києві Товариством сплачено:</w:t>
      </w:r>
    </w:p>
    <w:p w:rsidR="003C72F3" w:rsidRPr="00A13E4B" w:rsidRDefault="003C72F3" w:rsidP="009D0D25">
      <w:pPr>
        <w:pStyle w:val="a3"/>
        <w:numPr>
          <w:ilvl w:val="0"/>
          <w:numId w:val="8"/>
        </w:numPr>
        <w:spacing w:line="276" w:lineRule="auto"/>
        <w:ind w:left="0" w:right="142" w:firstLine="0"/>
        <w:jc w:val="both"/>
        <w:rPr>
          <w:rFonts w:ascii="Times New Roman" w:hAnsi="Times New Roman" w:cs="Times New Roman"/>
          <w:sz w:val="26"/>
          <w:szCs w:val="26"/>
        </w:rPr>
      </w:pPr>
      <w:r w:rsidRPr="00A13E4B">
        <w:rPr>
          <w:rFonts w:ascii="Times New Roman" w:hAnsi="Times New Roman" w:cs="Times New Roman"/>
          <w:sz w:val="26"/>
          <w:szCs w:val="26"/>
        </w:rPr>
        <w:t xml:space="preserve">За </w:t>
      </w:r>
      <w:r w:rsidRPr="00A13E4B">
        <w:rPr>
          <w:rFonts w:ascii="Times New Roman" w:hAnsi="Times New Roman" w:cs="Times New Roman"/>
          <w:sz w:val="26"/>
          <w:szCs w:val="26"/>
          <w:lang w:val="en-US"/>
        </w:rPr>
        <w:t>I</w:t>
      </w:r>
      <w:r w:rsidRPr="00A13E4B">
        <w:rPr>
          <w:rFonts w:ascii="Times New Roman" w:hAnsi="Times New Roman" w:cs="Times New Roman"/>
          <w:sz w:val="26"/>
          <w:szCs w:val="26"/>
          <w:lang w:val="ru-RU"/>
        </w:rPr>
        <w:t xml:space="preserve"> </w:t>
      </w:r>
      <w:r w:rsidRPr="00A13E4B">
        <w:rPr>
          <w:rFonts w:ascii="Times New Roman" w:hAnsi="Times New Roman" w:cs="Times New Roman"/>
          <w:sz w:val="26"/>
          <w:szCs w:val="26"/>
        </w:rPr>
        <w:t xml:space="preserve">квартал 2018го року  </w:t>
      </w:r>
      <w:r w:rsidRPr="00A13E4B">
        <w:rPr>
          <w:rFonts w:ascii="Times New Roman" w:hAnsi="Times New Roman" w:cs="Times New Roman"/>
          <w:sz w:val="26"/>
          <w:szCs w:val="26"/>
          <w:lang w:val="ru-RU"/>
        </w:rPr>
        <w:t xml:space="preserve">- 62.74 </w:t>
      </w:r>
      <w:r w:rsidRPr="00A13E4B">
        <w:rPr>
          <w:rFonts w:ascii="Times New Roman" w:hAnsi="Times New Roman" w:cs="Times New Roman"/>
          <w:sz w:val="26"/>
          <w:szCs w:val="26"/>
        </w:rPr>
        <w:t>грн.</w:t>
      </w:r>
    </w:p>
    <w:p w:rsidR="003C72F3" w:rsidRPr="00A13E4B" w:rsidRDefault="003C72F3" w:rsidP="009D0D25">
      <w:pPr>
        <w:pStyle w:val="a3"/>
        <w:numPr>
          <w:ilvl w:val="0"/>
          <w:numId w:val="8"/>
        </w:numPr>
        <w:spacing w:line="276" w:lineRule="auto"/>
        <w:ind w:left="0" w:right="142" w:firstLine="0"/>
        <w:jc w:val="both"/>
        <w:rPr>
          <w:rFonts w:ascii="Times New Roman" w:hAnsi="Times New Roman" w:cs="Times New Roman"/>
          <w:sz w:val="26"/>
          <w:szCs w:val="26"/>
          <w:lang w:val="ru-RU"/>
        </w:rPr>
      </w:pPr>
      <w:r w:rsidRPr="00A13E4B">
        <w:rPr>
          <w:rFonts w:ascii="Times New Roman" w:hAnsi="Times New Roman" w:cs="Times New Roman"/>
          <w:sz w:val="26"/>
          <w:szCs w:val="26"/>
        </w:rPr>
        <w:t xml:space="preserve">За </w:t>
      </w:r>
      <w:r w:rsidRPr="00A13E4B">
        <w:rPr>
          <w:rFonts w:ascii="Times New Roman" w:hAnsi="Times New Roman" w:cs="Times New Roman"/>
          <w:sz w:val="26"/>
          <w:szCs w:val="26"/>
          <w:lang w:val="en-US"/>
        </w:rPr>
        <w:t>II</w:t>
      </w:r>
      <w:r w:rsidRPr="00A13E4B">
        <w:rPr>
          <w:rFonts w:ascii="Times New Roman" w:hAnsi="Times New Roman" w:cs="Times New Roman"/>
          <w:sz w:val="26"/>
          <w:szCs w:val="26"/>
          <w:lang w:val="ru-RU"/>
        </w:rPr>
        <w:t xml:space="preserve"> </w:t>
      </w:r>
      <w:r w:rsidRPr="00A13E4B">
        <w:rPr>
          <w:rFonts w:ascii="Times New Roman" w:hAnsi="Times New Roman" w:cs="Times New Roman"/>
          <w:sz w:val="26"/>
          <w:szCs w:val="26"/>
        </w:rPr>
        <w:t xml:space="preserve">квартал 2018го року  </w:t>
      </w:r>
      <w:r w:rsidRPr="00A13E4B">
        <w:rPr>
          <w:rFonts w:ascii="Times New Roman" w:hAnsi="Times New Roman" w:cs="Times New Roman"/>
          <w:sz w:val="26"/>
          <w:szCs w:val="26"/>
          <w:lang w:val="ru-RU"/>
        </w:rPr>
        <w:t>- 63.31 грн.</w:t>
      </w:r>
    </w:p>
    <w:p w:rsidR="003C72F3" w:rsidRPr="00A13E4B" w:rsidRDefault="003C72F3" w:rsidP="009D0D25">
      <w:pPr>
        <w:pStyle w:val="a3"/>
        <w:numPr>
          <w:ilvl w:val="0"/>
          <w:numId w:val="8"/>
        </w:numPr>
        <w:spacing w:line="276" w:lineRule="auto"/>
        <w:ind w:left="0" w:right="142" w:firstLine="0"/>
        <w:jc w:val="both"/>
        <w:rPr>
          <w:rFonts w:ascii="Times New Roman" w:hAnsi="Times New Roman" w:cs="Times New Roman"/>
          <w:sz w:val="26"/>
          <w:szCs w:val="26"/>
          <w:lang w:val="ru-RU"/>
        </w:rPr>
      </w:pPr>
      <w:r w:rsidRPr="00A13E4B">
        <w:rPr>
          <w:rFonts w:ascii="Times New Roman" w:hAnsi="Times New Roman" w:cs="Times New Roman"/>
          <w:sz w:val="26"/>
          <w:szCs w:val="26"/>
        </w:rPr>
        <w:t xml:space="preserve">За </w:t>
      </w:r>
      <w:r w:rsidRPr="00A13E4B">
        <w:rPr>
          <w:rFonts w:ascii="Times New Roman" w:hAnsi="Times New Roman" w:cs="Times New Roman"/>
          <w:sz w:val="26"/>
          <w:szCs w:val="26"/>
          <w:lang w:val="en-US"/>
        </w:rPr>
        <w:t>III</w:t>
      </w:r>
      <w:r w:rsidRPr="00A13E4B">
        <w:rPr>
          <w:rFonts w:ascii="Times New Roman" w:hAnsi="Times New Roman" w:cs="Times New Roman"/>
          <w:sz w:val="26"/>
          <w:szCs w:val="26"/>
          <w:lang w:val="ru-RU"/>
        </w:rPr>
        <w:t xml:space="preserve"> </w:t>
      </w:r>
      <w:r w:rsidRPr="00A13E4B">
        <w:rPr>
          <w:rFonts w:ascii="Times New Roman" w:hAnsi="Times New Roman" w:cs="Times New Roman"/>
          <w:sz w:val="26"/>
          <w:szCs w:val="26"/>
        </w:rPr>
        <w:t xml:space="preserve">квартал 2018го року  </w:t>
      </w:r>
      <w:r w:rsidRPr="00A13E4B">
        <w:rPr>
          <w:rFonts w:ascii="Times New Roman" w:hAnsi="Times New Roman" w:cs="Times New Roman"/>
          <w:sz w:val="26"/>
          <w:szCs w:val="26"/>
          <w:lang w:val="ru-RU"/>
        </w:rPr>
        <w:t xml:space="preserve"> - 61.97 грн.</w:t>
      </w:r>
    </w:p>
    <w:p w:rsidR="003C72F3" w:rsidRPr="00A13E4B" w:rsidRDefault="003C72F3" w:rsidP="009D0D25">
      <w:pPr>
        <w:pStyle w:val="a3"/>
        <w:numPr>
          <w:ilvl w:val="0"/>
          <w:numId w:val="8"/>
        </w:numPr>
        <w:spacing w:line="276" w:lineRule="auto"/>
        <w:ind w:left="0" w:right="142" w:firstLine="0"/>
        <w:jc w:val="both"/>
        <w:rPr>
          <w:rFonts w:ascii="Times New Roman" w:hAnsi="Times New Roman" w:cs="Times New Roman"/>
          <w:sz w:val="26"/>
          <w:szCs w:val="26"/>
          <w:lang w:val="ru-RU"/>
        </w:rPr>
      </w:pPr>
      <w:r w:rsidRPr="00A13E4B">
        <w:rPr>
          <w:rFonts w:ascii="Times New Roman" w:hAnsi="Times New Roman" w:cs="Times New Roman"/>
          <w:sz w:val="26"/>
          <w:szCs w:val="26"/>
        </w:rPr>
        <w:t xml:space="preserve">За </w:t>
      </w:r>
      <w:r w:rsidRPr="00A13E4B">
        <w:rPr>
          <w:rFonts w:ascii="Times New Roman" w:hAnsi="Times New Roman" w:cs="Times New Roman"/>
          <w:sz w:val="26"/>
          <w:szCs w:val="26"/>
          <w:lang w:val="en-US"/>
        </w:rPr>
        <w:t>IV</w:t>
      </w:r>
      <w:r w:rsidRPr="00A13E4B">
        <w:rPr>
          <w:rFonts w:ascii="Times New Roman" w:hAnsi="Times New Roman" w:cs="Times New Roman"/>
          <w:sz w:val="26"/>
          <w:szCs w:val="26"/>
          <w:lang w:val="ru-RU"/>
        </w:rPr>
        <w:t xml:space="preserve"> </w:t>
      </w:r>
      <w:r w:rsidRPr="00A13E4B">
        <w:rPr>
          <w:rFonts w:ascii="Times New Roman" w:hAnsi="Times New Roman" w:cs="Times New Roman"/>
          <w:sz w:val="26"/>
          <w:szCs w:val="26"/>
        </w:rPr>
        <w:t xml:space="preserve">квартал 2018го року  </w:t>
      </w:r>
      <w:r w:rsidRPr="00A13E4B">
        <w:rPr>
          <w:rFonts w:ascii="Times New Roman" w:hAnsi="Times New Roman" w:cs="Times New Roman"/>
          <w:sz w:val="26"/>
          <w:szCs w:val="26"/>
          <w:lang w:val="ru-RU"/>
        </w:rPr>
        <w:t>- 61.32 грн.</w:t>
      </w:r>
    </w:p>
    <w:p w:rsidR="003C72F3" w:rsidRPr="00A13E4B" w:rsidRDefault="003C72F3" w:rsidP="009D0D25">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lang w:val="ru-RU"/>
        </w:rPr>
        <w:t xml:space="preserve">До </w:t>
      </w:r>
      <w:r w:rsidRPr="00A13E4B">
        <w:rPr>
          <w:rFonts w:ascii="Times New Roman" w:hAnsi="Times New Roman" w:cs="Times New Roman"/>
          <w:sz w:val="26"/>
          <w:szCs w:val="26"/>
        </w:rPr>
        <w:t xml:space="preserve">Вишгородської ОДПІ </w:t>
      </w:r>
      <w:proofErr w:type="spellStart"/>
      <w:r w:rsidRPr="00A13E4B">
        <w:rPr>
          <w:rFonts w:ascii="Times New Roman" w:hAnsi="Times New Roman" w:cs="Times New Roman"/>
          <w:sz w:val="26"/>
          <w:szCs w:val="26"/>
        </w:rPr>
        <w:t>Ірпінське</w:t>
      </w:r>
      <w:proofErr w:type="spellEnd"/>
      <w:r w:rsidRPr="00A13E4B">
        <w:rPr>
          <w:rFonts w:ascii="Times New Roman" w:hAnsi="Times New Roman" w:cs="Times New Roman"/>
          <w:sz w:val="26"/>
          <w:szCs w:val="26"/>
        </w:rPr>
        <w:t xml:space="preserve"> відділення Товариством сплачено:</w:t>
      </w:r>
    </w:p>
    <w:p w:rsidR="003C72F3" w:rsidRPr="00A13E4B" w:rsidRDefault="003C72F3" w:rsidP="009D0D25">
      <w:pPr>
        <w:pStyle w:val="a3"/>
        <w:numPr>
          <w:ilvl w:val="0"/>
          <w:numId w:val="9"/>
        </w:numPr>
        <w:spacing w:line="276" w:lineRule="auto"/>
        <w:ind w:left="0" w:right="142" w:firstLine="0"/>
        <w:jc w:val="both"/>
        <w:rPr>
          <w:rFonts w:ascii="Times New Roman" w:hAnsi="Times New Roman" w:cs="Times New Roman"/>
          <w:sz w:val="26"/>
          <w:szCs w:val="26"/>
        </w:rPr>
      </w:pPr>
      <w:r w:rsidRPr="00A13E4B">
        <w:rPr>
          <w:rFonts w:ascii="Times New Roman" w:hAnsi="Times New Roman" w:cs="Times New Roman"/>
          <w:sz w:val="26"/>
          <w:szCs w:val="26"/>
        </w:rPr>
        <w:t xml:space="preserve">За </w:t>
      </w:r>
      <w:r w:rsidRPr="00A13E4B">
        <w:rPr>
          <w:rFonts w:ascii="Times New Roman" w:hAnsi="Times New Roman" w:cs="Times New Roman"/>
          <w:sz w:val="26"/>
          <w:szCs w:val="26"/>
          <w:lang w:val="en-US"/>
        </w:rPr>
        <w:t>I</w:t>
      </w:r>
      <w:r w:rsidRPr="00A13E4B">
        <w:rPr>
          <w:rFonts w:ascii="Times New Roman" w:hAnsi="Times New Roman" w:cs="Times New Roman"/>
          <w:sz w:val="26"/>
          <w:szCs w:val="26"/>
          <w:lang w:val="ru-RU"/>
        </w:rPr>
        <w:t xml:space="preserve"> </w:t>
      </w:r>
      <w:r w:rsidRPr="00A13E4B">
        <w:rPr>
          <w:rFonts w:ascii="Times New Roman" w:hAnsi="Times New Roman" w:cs="Times New Roman"/>
          <w:sz w:val="26"/>
          <w:szCs w:val="26"/>
        </w:rPr>
        <w:t xml:space="preserve">квартал 2018го року  </w:t>
      </w:r>
      <w:r w:rsidRPr="00A13E4B">
        <w:rPr>
          <w:rFonts w:ascii="Times New Roman" w:hAnsi="Times New Roman" w:cs="Times New Roman"/>
          <w:sz w:val="26"/>
          <w:szCs w:val="26"/>
          <w:lang w:val="ru-RU"/>
        </w:rPr>
        <w:t xml:space="preserve">- 0 </w:t>
      </w:r>
      <w:r w:rsidRPr="00A13E4B">
        <w:rPr>
          <w:rFonts w:ascii="Times New Roman" w:hAnsi="Times New Roman" w:cs="Times New Roman"/>
          <w:sz w:val="26"/>
          <w:szCs w:val="26"/>
        </w:rPr>
        <w:t>грн.</w:t>
      </w:r>
    </w:p>
    <w:p w:rsidR="003C72F3" w:rsidRPr="00A13E4B" w:rsidRDefault="003C72F3" w:rsidP="009D0D25">
      <w:pPr>
        <w:pStyle w:val="a3"/>
        <w:numPr>
          <w:ilvl w:val="0"/>
          <w:numId w:val="9"/>
        </w:numPr>
        <w:spacing w:line="276" w:lineRule="auto"/>
        <w:ind w:left="0" w:right="142" w:firstLine="0"/>
        <w:jc w:val="both"/>
        <w:rPr>
          <w:rFonts w:ascii="Times New Roman" w:hAnsi="Times New Roman" w:cs="Times New Roman"/>
          <w:sz w:val="26"/>
          <w:szCs w:val="26"/>
          <w:lang w:val="ru-RU"/>
        </w:rPr>
      </w:pPr>
      <w:r w:rsidRPr="00A13E4B">
        <w:rPr>
          <w:rFonts w:ascii="Times New Roman" w:hAnsi="Times New Roman" w:cs="Times New Roman"/>
          <w:sz w:val="26"/>
          <w:szCs w:val="26"/>
        </w:rPr>
        <w:t xml:space="preserve">За </w:t>
      </w:r>
      <w:r w:rsidRPr="00A13E4B">
        <w:rPr>
          <w:rFonts w:ascii="Times New Roman" w:hAnsi="Times New Roman" w:cs="Times New Roman"/>
          <w:sz w:val="26"/>
          <w:szCs w:val="26"/>
          <w:lang w:val="en-US"/>
        </w:rPr>
        <w:t>II</w:t>
      </w:r>
      <w:r w:rsidRPr="00A13E4B">
        <w:rPr>
          <w:rFonts w:ascii="Times New Roman" w:hAnsi="Times New Roman" w:cs="Times New Roman"/>
          <w:sz w:val="26"/>
          <w:szCs w:val="26"/>
          <w:lang w:val="ru-RU"/>
        </w:rPr>
        <w:t xml:space="preserve"> </w:t>
      </w:r>
      <w:r w:rsidRPr="00A13E4B">
        <w:rPr>
          <w:rFonts w:ascii="Times New Roman" w:hAnsi="Times New Roman" w:cs="Times New Roman"/>
          <w:sz w:val="26"/>
          <w:szCs w:val="26"/>
        </w:rPr>
        <w:t xml:space="preserve">квартал 2018го року  </w:t>
      </w:r>
      <w:r w:rsidRPr="00A13E4B">
        <w:rPr>
          <w:rFonts w:ascii="Times New Roman" w:hAnsi="Times New Roman" w:cs="Times New Roman"/>
          <w:sz w:val="26"/>
          <w:szCs w:val="26"/>
          <w:lang w:val="ru-RU"/>
        </w:rPr>
        <w:t>- 28.06 грн.</w:t>
      </w:r>
    </w:p>
    <w:p w:rsidR="003C72F3" w:rsidRPr="00A13E4B" w:rsidRDefault="003C72F3" w:rsidP="009D0D25">
      <w:pPr>
        <w:pStyle w:val="a3"/>
        <w:numPr>
          <w:ilvl w:val="0"/>
          <w:numId w:val="9"/>
        </w:numPr>
        <w:spacing w:line="276" w:lineRule="auto"/>
        <w:ind w:left="0" w:right="142" w:firstLine="0"/>
        <w:jc w:val="both"/>
        <w:rPr>
          <w:rFonts w:ascii="Times New Roman" w:hAnsi="Times New Roman" w:cs="Times New Roman"/>
          <w:sz w:val="26"/>
          <w:szCs w:val="26"/>
          <w:lang w:val="ru-RU"/>
        </w:rPr>
      </w:pPr>
      <w:r w:rsidRPr="00A13E4B">
        <w:rPr>
          <w:rFonts w:ascii="Times New Roman" w:hAnsi="Times New Roman" w:cs="Times New Roman"/>
          <w:sz w:val="26"/>
          <w:szCs w:val="26"/>
        </w:rPr>
        <w:t xml:space="preserve">За </w:t>
      </w:r>
      <w:r w:rsidRPr="00A13E4B">
        <w:rPr>
          <w:rFonts w:ascii="Times New Roman" w:hAnsi="Times New Roman" w:cs="Times New Roman"/>
          <w:sz w:val="26"/>
          <w:szCs w:val="26"/>
          <w:lang w:val="en-US"/>
        </w:rPr>
        <w:t>III</w:t>
      </w:r>
      <w:r w:rsidRPr="00A13E4B">
        <w:rPr>
          <w:rFonts w:ascii="Times New Roman" w:hAnsi="Times New Roman" w:cs="Times New Roman"/>
          <w:sz w:val="26"/>
          <w:szCs w:val="26"/>
          <w:lang w:val="ru-RU"/>
        </w:rPr>
        <w:t xml:space="preserve"> </w:t>
      </w:r>
      <w:r w:rsidRPr="00A13E4B">
        <w:rPr>
          <w:rFonts w:ascii="Times New Roman" w:hAnsi="Times New Roman" w:cs="Times New Roman"/>
          <w:sz w:val="26"/>
          <w:szCs w:val="26"/>
        </w:rPr>
        <w:t xml:space="preserve">квартал 2018го року  </w:t>
      </w:r>
      <w:r w:rsidRPr="00A13E4B">
        <w:rPr>
          <w:rFonts w:ascii="Times New Roman" w:hAnsi="Times New Roman" w:cs="Times New Roman"/>
          <w:sz w:val="26"/>
          <w:szCs w:val="26"/>
          <w:lang w:val="ru-RU"/>
        </w:rPr>
        <w:t xml:space="preserve"> - 23.16 грн.</w:t>
      </w:r>
    </w:p>
    <w:p w:rsidR="003C72F3" w:rsidRPr="00A13E4B" w:rsidRDefault="003C72F3" w:rsidP="009D0D25">
      <w:pPr>
        <w:pStyle w:val="a3"/>
        <w:numPr>
          <w:ilvl w:val="0"/>
          <w:numId w:val="9"/>
        </w:numPr>
        <w:spacing w:line="276" w:lineRule="auto"/>
        <w:ind w:left="0" w:right="142" w:firstLine="0"/>
        <w:jc w:val="both"/>
        <w:rPr>
          <w:rFonts w:ascii="Times New Roman" w:hAnsi="Times New Roman" w:cs="Times New Roman"/>
          <w:sz w:val="26"/>
          <w:szCs w:val="26"/>
          <w:lang w:val="ru-RU"/>
        </w:rPr>
      </w:pPr>
      <w:r w:rsidRPr="00A13E4B">
        <w:rPr>
          <w:rFonts w:ascii="Times New Roman" w:hAnsi="Times New Roman" w:cs="Times New Roman"/>
          <w:sz w:val="26"/>
          <w:szCs w:val="26"/>
        </w:rPr>
        <w:t xml:space="preserve">За </w:t>
      </w:r>
      <w:r w:rsidRPr="00A13E4B">
        <w:rPr>
          <w:rFonts w:ascii="Times New Roman" w:hAnsi="Times New Roman" w:cs="Times New Roman"/>
          <w:sz w:val="26"/>
          <w:szCs w:val="26"/>
          <w:lang w:val="en-US"/>
        </w:rPr>
        <w:t>IV</w:t>
      </w:r>
      <w:r w:rsidRPr="00A13E4B">
        <w:rPr>
          <w:rFonts w:ascii="Times New Roman" w:hAnsi="Times New Roman" w:cs="Times New Roman"/>
          <w:sz w:val="26"/>
          <w:szCs w:val="26"/>
          <w:lang w:val="ru-RU"/>
        </w:rPr>
        <w:t xml:space="preserve"> </w:t>
      </w:r>
      <w:r w:rsidRPr="00A13E4B">
        <w:rPr>
          <w:rFonts w:ascii="Times New Roman" w:hAnsi="Times New Roman" w:cs="Times New Roman"/>
          <w:sz w:val="26"/>
          <w:szCs w:val="26"/>
        </w:rPr>
        <w:t xml:space="preserve">квартал 2018го року  </w:t>
      </w:r>
      <w:r w:rsidRPr="00A13E4B">
        <w:rPr>
          <w:rFonts w:ascii="Times New Roman" w:hAnsi="Times New Roman" w:cs="Times New Roman"/>
          <w:sz w:val="26"/>
          <w:szCs w:val="26"/>
          <w:lang w:val="ru-RU"/>
        </w:rPr>
        <w:t>- 0 грн.</w:t>
      </w:r>
    </w:p>
    <w:p w:rsidR="009D0D25" w:rsidRPr="00A13E4B" w:rsidRDefault="009D0D25" w:rsidP="009D0D25">
      <w:pPr>
        <w:rPr>
          <w:rFonts w:ascii="Times New Roman" w:hAnsi="Times New Roman" w:cs="Times New Roman"/>
          <w:b/>
          <w:sz w:val="26"/>
          <w:szCs w:val="26"/>
        </w:rPr>
      </w:pPr>
    </w:p>
    <w:p w:rsidR="00C402F9" w:rsidRPr="009D0D25" w:rsidRDefault="006A3926" w:rsidP="009D0D25">
      <w:pPr>
        <w:pStyle w:val="a3"/>
        <w:numPr>
          <w:ilvl w:val="0"/>
          <w:numId w:val="4"/>
        </w:numPr>
        <w:spacing w:line="276" w:lineRule="auto"/>
        <w:ind w:right="141" w:hanging="721"/>
        <w:jc w:val="both"/>
        <w:rPr>
          <w:rFonts w:ascii="Times New Roman" w:hAnsi="Times New Roman" w:cs="Times New Roman"/>
          <w:b/>
          <w:sz w:val="26"/>
          <w:szCs w:val="26"/>
        </w:rPr>
      </w:pPr>
      <w:r w:rsidRPr="00A13E4B">
        <w:rPr>
          <w:rFonts w:ascii="Times New Roman" w:hAnsi="Times New Roman" w:cs="Times New Roman"/>
          <w:b/>
          <w:sz w:val="26"/>
          <w:szCs w:val="26"/>
        </w:rPr>
        <w:t xml:space="preserve">Соціальні аспекти </w:t>
      </w:r>
      <w:r w:rsidR="00DF2AE9" w:rsidRPr="00A13E4B">
        <w:rPr>
          <w:rFonts w:ascii="Times New Roman" w:hAnsi="Times New Roman" w:cs="Times New Roman"/>
          <w:b/>
          <w:sz w:val="26"/>
          <w:szCs w:val="26"/>
        </w:rPr>
        <w:t>та кадрова політика</w:t>
      </w:r>
    </w:p>
    <w:p w:rsidR="00DF2AE9" w:rsidRPr="00A13E4B" w:rsidRDefault="00DF2AE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Кадрова політика визначає генеральний напрямок і основи роботи з кадрами, загальні і специфічні вимоги до них і розробляється власниками підприємства, вищим керівництвом, кадровою службою.</w:t>
      </w:r>
    </w:p>
    <w:p w:rsidR="00DF2AE9" w:rsidRPr="00A13E4B" w:rsidRDefault="00DF2AE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Основною метою кадрової політики є своєчасне забезпечення оптимального балансу процесів комплектування, збереження персоналу, його розвитку відповідно до потреб підприємства, вимог діючого законодавства та стану ринку праці.</w:t>
      </w:r>
    </w:p>
    <w:p w:rsidR="00DF2AE9" w:rsidRPr="00A13E4B" w:rsidRDefault="00DF2AE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Основою формування кадрової політики підприємства виступає аналіз структури персоналу, ефективності використання робочого часу, прогнози розвитку підприємства і зайнятості персоналу. Іноді ця робота проводиться за допомогою спеціальних консалтингових організацій, і хоча оплата їхніх послуг дуже висока, результат набагато перевищує витрати.</w:t>
      </w:r>
    </w:p>
    <w:p w:rsidR="00DF2AE9" w:rsidRPr="00A13E4B" w:rsidRDefault="00DF2AE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Кадрова політика ґрунтується на кадровій концепції підприємства, що є поряд з виробничою, </w:t>
      </w:r>
      <w:bookmarkStart w:id="0" w:name="_GoBack"/>
      <w:bookmarkEnd w:id="0"/>
      <w:r w:rsidRPr="00A13E4B">
        <w:rPr>
          <w:rFonts w:ascii="Times New Roman" w:hAnsi="Times New Roman" w:cs="Times New Roman"/>
          <w:sz w:val="26"/>
          <w:szCs w:val="26"/>
        </w:rPr>
        <w:t>фінансово-економічною, науково-технічною, маркетинговою політикою елементом загальної концепції його розвитку.</w:t>
      </w:r>
    </w:p>
    <w:p w:rsidR="00DF2AE9" w:rsidRPr="00A13E4B" w:rsidRDefault="00DF2AE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Кадрова політика на підприємстві майбутнього, на думку західних фахівців, повинна будуватися на наступних принципах:</w:t>
      </w:r>
    </w:p>
    <w:p w:rsidR="00DF2AE9" w:rsidRPr="00A13E4B" w:rsidRDefault="00DF2AE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повна довіра до працівника і надання йому максимальної самостійності;</w:t>
      </w:r>
    </w:p>
    <w:p w:rsidR="00DF2AE9" w:rsidRPr="00A13E4B" w:rsidRDefault="00DF2AE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у центрі економічного управління повинні бути не фінанси, а людина і його ініціатива;</w:t>
      </w:r>
    </w:p>
    <w:p w:rsidR="00DF2AE9" w:rsidRPr="00A13E4B" w:rsidRDefault="00DF2AE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результат діяльності підприємства визначається ступенем згуртованості колективу;</w:t>
      </w:r>
    </w:p>
    <w:p w:rsidR="00DF2AE9" w:rsidRPr="00A13E4B" w:rsidRDefault="00DF2AE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максимальне делегування функцій управління працівникам;</w:t>
      </w:r>
    </w:p>
    <w:p w:rsidR="00DF2AE9" w:rsidRPr="00A13E4B" w:rsidRDefault="00DF2AE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необхідність розвитку мотивації працівників.</w:t>
      </w:r>
    </w:p>
    <w:p w:rsidR="00DF2AE9" w:rsidRPr="00A13E4B" w:rsidRDefault="00DF2AE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lastRenderedPageBreak/>
        <w:t>Механізм реалізації кадрової політики підприємства являє собою систему планів, норм і нормативів, організаційних, адміністративних, соціальних, економічних і інших заходів, спрямованих на рішення кадрових проблем і задоволення потреб підприємства в персоналі.</w:t>
      </w:r>
    </w:p>
    <w:p w:rsidR="00DF2AE9" w:rsidRPr="00A13E4B" w:rsidRDefault="00DF2AE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Головною особливістю всієї системи розробки і реалізації ефективної кадрової політики на підприємстві є та обставина, що значну частку роботи з персоналом повинні виконувати самі лінійні керівники, а працівники кадрової служби зобов'язані допомагати їм у цьому і забезпечувати відповідну підтримку (витрати робочого часу лінійних керівників на виконання кадрових функцій у прогресивних підприємствах складають від 30 до 60 %). </w:t>
      </w:r>
    </w:p>
    <w:p w:rsidR="00DF2AE9" w:rsidRPr="00A13E4B" w:rsidRDefault="00C402F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Кадрова програма товариства, спрямована на забезпечення рiвня квалiфiкацiї працiвникiв операцiйним потребам: програма передбачає регулярне пiдвищення квалiфiкацiї працiвникiв операцiйним потребам товариства.</w:t>
      </w:r>
    </w:p>
    <w:p w:rsidR="00BF7AC3" w:rsidRPr="00A13E4B" w:rsidRDefault="00E43B94" w:rsidP="009D0D25">
      <w:pPr>
        <w:spacing w:line="276" w:lineRule="auto"/>
        <w:ind w:left="3969" w:right="142" w:hanging="3969"/>
        <w:jc w:val="both"/>
        <w:rPr>
          <w:rFonts w:ascii="Times New Roman" w:hAnsi="Times New Roman" w:cs="Times New Roman"/>
          <w:sz w:val="26"/>
          <w:szCs w:val="26"/>
        </w:rPr>
      </w:pPr>
      <w:r>
        <w:rPr>
          <w:noProof/>
          <w:lang w:eastAsia="uk-UA"/>
        </w:rPr>
        <w:drawing>
          <wp:inline distT="0" distB="0" distL="0" distR="0" wp14:anchorId="48F9AF09" wp14:editId="40089AD3">
            <wp:extent cx="5895975" cy="3158561"/>
            <wp:effectExtent l="0" t="0" r="0" b="3810"/>
            <wp:docPr id="11"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rotWithShape="1">
                    <a:blip r:embed="rId9"/>
                    <a:srcRect l="27231" t="30077" r="15492" b="13965"/>
                    <a:stretch/>
                  </pic:blipFill>
                  <pic:spPr>
                    <a:xfrm>
                      <a:off x="0" y="0"/>
                      <a:ext cx="5967274" cy="3196757"/>
                    </a:xfrm>
                    <a:prstGeom prst="rect">
                      <a:avLst/>
                    </a:prstGeom>
                  </pic:spPr>
                </pic:pic>
              </a:graphicData>
            </a:graphic>
          </wp:inline>
        </w:drawing>
      </w:r>
      <w:r w:rsidR="00BF7AC3" w:rsidRPr="00A13E4B">
        <w:rPr>
          <w:rFonts w:ascii="Times New Roman" w:hAnsi="Times New Roman" w:cs="Times New Roman"/>
          <w:sz w:val="26"/>
          <w:szCs w:val="26"/>
        </w:rPr>
        <w:br/>
        <w:t xml:space="preserve">(рис. </w:t>
      </w:r>
      <w:r w:rsidR="00A13E4B">
        <w:rPr>
          <w:rFonts w:ascii="Times New Roman" w:hAnsi="Times New Roman" w:cs="Times New Roman"/>
          <w:sz w:val="26"/>
          <w:szCs w:val="26"/>
        </w:rPr>
        <w:t>4</w:t>
      </w:r>
      <w:r w:rsidR="00BF7AC3" w:rsidRPr="00A13E4B">
        <w:rPr>
          <w:rFonts w:ascii="Times New Roman" w:hAnsi="Times New Roman" w:cs="Times New Roman"/>
          <w:sz w:val="26"/>
          <w:szCs w:val="26"/>
        </w:rPr>
        <w:t>)</w:t>
      </w:r>
    </w:p>
    <w:p w:rsidR="00C402F9" w:rsidRPr="00A13E4B" w:rsidRDefault="00C402F9"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Фонд оплати працi: 69 829,2 тис. грн.</w:t>
      </w:r>
      <w:r w:rsidR="005E12C0" w:rsidRPr="00A13E4B">
        <w:rPr>
          <w:rFonts w:ascii="Times New Roman" w:hAnsi="Times New Roman" w:cs="Times New Roman"/>
          <w:sz w:val="26"/>
          <w:szCs w:val="26"/>
        </w:rPr>
        <w:t xml:space="preserve"> </w:t>
      </w:r>
    </w:p>
    <w:p w:rsidR="00A72320" w:rsidRPr="00A13E4B" w:rsidRDefault="00A72320"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Станом на 31.12.2018 ро. Загальна чисельність працюючих осіб складає 959, з них жінок — 526, що складає 54,8%. Кількість жінок на керівних посадах - 80 (42,3%).</w:t>
      </w:r>
    </w:p>
    <w:p w:rsidR="00A72320" w:rsidRPr="00A13E4B" w:rsidRDefault="00A72320"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52,4 % персоналу Товариства мають вищу освіту ІІІ-ІV та І-ІІ рівня акредитації, з них 13,5% працюють робітниками. 5 осіб мають 2 і більше вищих освіт, 1 особа - кандидат технічних наук.</w:t>
      </w:r>
    </w:p>
    <w:p w:rsidR="00A72320" w:rsidRPr="00A13E4B" w:rsidRDefault="00A72320"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В рамках стратегії розвитку кадрового потенціалу Товариства відбувається внутрішнє та зовнішнє навчання по підвищенню кваліфікації персоналу, з подальшим підвищенням у посаді працівників, які відзначаються вищими показниками ефективності та відповідним рівнем професіоналізму.</w:t>
      </w:r>
    </w:p>
    <w:p w:rsidR="00A72320" w:rsidRPr="00A13E4B" w:rsidRDefault="00BF7AC3"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lastRenderedPageBreak/>
        <w:t xml:space="preserve">Види навчання співробітників та керівників за 2018 рік </w:t>
      </w:r>
      <w:r w:rsidR="009B5B1F" w:rsidRPr="00A13E4B">
        <w:rPr>
          <w:rFonts w:ascii="Times New Roman" w:hAnsi="Times New Roman" w:cs="Times New Roman"/>
          <w:sz w:val="26"/>
          <w:szCs w:val="26"/>
        </w:rPr>
        <w:t>зображено</w:t>
      </w:r>
      <w:r w:rsidRPr="00A13E4B">
        <w:rPr>
          <w:rFonts w:ascii="Times New Roman" w:hAnsi="Times New Roman" w:cs="Times New Roman"/>
          <w:sz w:val="26"/>
          <w:szCs w:val="26"/>
        </w:rPr>
        <w:t xml:space="preserve"> на діаграмах (рис. </w:t>
      </w:r>
      <w:r w:rsidR="00A13E4B">
        <w:rPr>
          <w:rFonts w:ascii="Times New Roman" w:hAnsi="Times New Roman" w:cs="Times New Roman"/>
          <w:sz w:val="26"/>
          <w:szCs w:val="26"/>
        </w:rPr>
        <w:t>5</w:t>
      </w:r>
      <w:r w:rsidRPr="00A13E4B">
        <w:rPr>
          <w:rFonts w:ascii="Times New Roman" w:hAnsi="Times New Roman" w:cs="Times New Roman"/>
          <w:sz w:val="26"/>
          <w:szCs w:val="26"/>
        </w:rPr>
        <w:t xml:space="preserve">; рис. </w:t>
      </w:r>
      <w:r w:rsidR="00A13E4B">
        <w:rPr>
          <w:rFonts w:ascii="Times New Roman" w:hAnsi="Times New Roman" w:cs="Times New Roman"/>
          <w:sz w:val="26"/>
          <w:szCs w:val="26"/>
        </w:rPr>
        <w:t>6</w:t>
      </w:r>
      <w:r w:rsidRPr="00A13E4B">
        <w:rPr>
          <w:rFonts w:ascii="Times New Roman" w:hAnsi="Times New Roman" w:cs="Times New Roman"/>
          <w:sz w:val="26"/>
          <w:szCs w:val="26"/>
        </w:rPr>
        <w:t>):</w:t>
      </w:r>
    </w:p>
    <w:p w:rsidR="00240946" w:rsidRPr="00A13E4B" w:rsidRDefault="00E43B94" w:rsidP="009D0D25">
      <w:pPr>
        <w:spacing w:line="276" w:lineRule="auto"/>
        <w:ind w:left="3969" w:right="142" w:hanging="3969"/>
        <w:jc w:val="both"/>
        <w:rPr>
          <w:rFonts w:ascii="Times New Roman" w:hAnsi="Times New Roman" w:cs="Times New Roman"/>
          <w:sz w:val="26"/>
          <w:szCs w:val="26"/>
        </w:rPr>
      </w:pPr>
      <w:r>
        <w:rPr>
          <w:noProof/>
          <w:lang w:eastAsia="uk-UA"/>
        </w:rPr>
        <w:drawing>
          <wp:inline distT="0" distB="0" distL="0" distR="0" wp14:anchorId="70BE7245" wp14:editId="4A3A46DC">
            <wp:extent cx="5590032" cy="258122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807" t="27817" r="8472" b="16560"/>
                    <a:stretch/>
                  </pic:blipFill>
                  <pic:spPr bwMode="auto">
                    <a:xfrm>
                      <a:off x="0" y="0"/>
                      <a:ext cx="5645899" cy="2607026"/>
                    </a:xfrm>
                    <a:prstGeom prst="rect">
                      <a:avLst/>
                    </a:prstGeom>
                    <a:ln>
                      <a:noFill/>
                    </a:ln>
                    <a:extLst>
                      <a:ext uri="{53640926-AAD7-44D8-BBD7-CCE9431645EC}">
                        <a14:shadowObscured xmlns:a14="http://schemas.microsoft.com/office/drawing/2010/main"/>
                      </a:ext>
                    </a:extLst>
                  </pic:spPr>
                </pic:pic>
              </a:graphicData>
            </a:graphic>
          </wp:inline>
        </w:drawing>
      </w:r>
      <w:r w:rsidR="00BF7AC3" w:rsidRPr="00A13E4B">
        <w:rPr>
          <w:rFonts w:ascii="Times New Roman" w:hAnsi="Times New Roman" w:cs="Times New Roman"/>
          <w:sz w:val="26"/>
          <w:szCs w:val="26"/>
        </w:rPr>
        <w:br/>
        <w:t>(рис.</w:t>
      </w:r>
      <w:r w:rsidR="00A13E4B">
        <w:rPr>
          <w:rFonts w:ascii="Times New Roman" w:hAnsi="Times New Roman" w:cs="Times New Roman"/>
          <w:sz w:val="26"/>
          <w:szCs w:val="26"/>
        </w:rPr>
        <w:t>5</w:t>
      </w:r>
      <w:r w:rsidR="00BF7AC3" w:rsidRPr="00A13E4B">
        <w:rPr>
          <w:rFonts w:ascii="Times New Roman" w:hAnsi="Times New Roman" w:cs="Times New Roman"/>
          <w:sz w:val="26"/>
          <w:szCs w:val="26"/>
        </w:rPr>
        <w:t>)</w:t>
      </w:r>
    </w:p>
    <w:p w:rsidR="00BF7AC3" w:rsidRPr="00A13E4B" w:rsidRDefault="00E43B94" w:rsidP="009D0D25">
      <w:pPr>
        <w:spacing w:line="276" w:lineRule="auto"/>
        <w:ind w:left="3969" w:right="142" w:hanging="3969"/>
        <w:jc w:val="both"/>
        <w:rPr>
          <w:rFonts w:ascii="Times New Roman" w:hAnsi="Times New Roman" w:cs="Times New Roman"/>
          <w:sz w:val="26"/>
          <w:szCs w:val="26"/>
        </w:rPr>
      </w:pPr>
      <w:r>
        <w:rPr>
          <w:noProof/>
          <w:lang w:eastAsia="uk-UA"/>
        </w:rPr>
        <w:drawing>
          <wp:inline distT="0" distB="0" distL="0" distR="0" wp14:anchorId="5989E8E0" wp14:editId="1385C09D">
            <wp:extent cx="5628068" cy="3015037"/>
            <wp:effectExtent l="0" t="0" r="0" b="0"/>
            <wp:docPr id="2"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rotWithShape="1">
                    <a:blip r:embed="rId9"/>
                    <a:srcRect l="27231" t="30077" r="15492" b="13965"/>
                    <a:stretch/>
                  </pic:blipFill>
                  <pic:spPr>
                    <a:xfrm>
                      <a:off x="0" y="0"/>
                      <a:ext cx="5656111" cy="3030060"/>
                    </a:xfrm>
                    <a:prstGeom prst="rect">
                      <a:avLst/>
                    </a:prstGeom>
                  </pic:spPr>
                </pic:pic>
              </a:graphicData>
            </a:graphic>
          </wp:inline>
        </w:drawing>
      </w:r>
      <w:r w:rsidR="00BF7AC3" w:rsidRPr="00A13E4B">
        <w:rPr>
          <w:rFonts w:ascii="Times New Roman" w:hAnsi="Times New Roman" w:cs="Times New Roman"/>
          <w:sz w:val="26"/>
          <w:szCs w:val="26"/>
        </w:rPr>
        <w:t xml:space="preserve"> </w:t>
      </w:r>
      <w:r w:rsidR="00BF7AC3" w:rsidRPr="00A13E4B">
        <w:rPr>
          <w:rFonts w:ascii="Times New Roman" w:hAnsi="Times New Roman" w:cs="Times New Roman"/>
          <w:sz w:val="26"/>
          <w:szCs w:val="26"/>
        </w:rPr>
        <w:br/>
        <w:t xml:space="preserve">(рис. </w:t>
      </w:r>
      <w:r w:rsidR="00A13E4B">
        <w:rPr>
          <w:rFonts w:ascii="Times New Roman" w:hAnsi="Times New Roman" w:cs="Times New Roman"/>
          <w:sz w:val="26"/>
          <w:szCs w:val="26"/>
        </w:rPr>
        <w:t>6</w:t>
      </w:r>
      <w:r w:rsidR="00BF7AC3" w:rsidRPr="00A13E4B">
        <w:rPr>
          <w:rFonts w:ascii="Times New Roman" w:hAnsi="Times New Roman" w:cs="Times New Roman"/>
          <w:sz w:val="26"/>
          <w:szCs w:val="26"/>
        </w:rPr>
        <w:t>)</w:t>
      </w:r>
    </w:p>
    <w:p w:rsidR="00BF7AC3" w:rsidRPr="00A13E4B" w:rsidRDefault="00BF7AC3" w:rsidP="007A1FD0">
      <w:pPr>
        <w:spacing w:line="276" w:lineRule="auto"/>
        <w:ind w:right="142" w:firstLine="567"/>
        <w:jc w:val="both"/>
        <w:rPr>
          <w:rFonts w:ascii="Times New Roman" w:hAnsi="Times New Roman" w:cs="Times New Roman"/>
          <w:sz w:val="26"/>
          <w:szCs w:val="26"/>
        </w:rPr>
      </w:pPr>
    </w:p>
    <w:p w:rsidR="00BB7A7C" w:rsidRDefault="00A72320"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На даний час в Товаристві працює 49 осіб з інвалідністю, 10 працівників мають двоє і більше дітей до 14 років, 12 співробітників мають дітей віком до 6 років та є 2 багатодітних батька. Дискримінації за віком у Товаристві немає: 85 % працюючих — це особи передпенсійного та пенсійного віку; 6 % - молодь до 35 років.</w:t>
      </w:r>
    </w:p>
    <w:p w:rsidR="009D0D25" w:rsidRPr="00A13E4B" w:rsidRDefault="009D0D25" w:rsidP="007A1FD0">
      <w:pPr>
        <w:spacing w:line="276" w:lineRule="auto"/>
        <w:ind w:right="142" w:firstLine="567"/>
        <w:jc w:val="both"/>
        <w:rPr>
          <w:rFonts w:ascii="Times New Roman" w:hAnsi="Times New Roman" w:cs="Times New Roman"/>
          <w:sz w:val="26"/>
          <w:szCs w:val="26"/>
        </w:rPr>
      </w:pPr>
    </w:p>
    <w:p w:rsidR="007F5DBE" w:rsidRPr="00A13E4B" w:rsidRDefault="00A210B8" w:rsidP="009D0D25">
      <w:pPr>
        <w:pStyle w:val="a3"/>
        <w:numPr>
          <w:ilvl w:val="0"/>
          <w:numId w:val="4"/>
        </w:numPr>
        <w:spacing w:line="276" w:lineRule="auto"/>
        <w:ind w:right="142" w:hanging="721"/>
        <w:jc w:val="both"/>
        <w:rPr>
          <w:rFonts w:ascii="Times New Roman" w:hAnsi="Times New Roman" w:cs="Times New Roman"/>
          <w:sz w:val="26"/>
          <w:szCs w:val="26"/>
        </w:rPr>
      </w:pPr>
      <w:r w:rsidRPr="00A13E4B">
        <w:rPr>
          <w:rFonts w:ascii="Times New Roman" w:hAnsi="Times New Roman" w:cs="Times New Roman"/>
          <w:b/>
          <w:sz w:val="26"/>
          <w:szCs w:val="26"/>
        </w:rPr>
        <w:t>Ризики</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Ризик </w:t>
      </w:r>
      <w:r w:rsidR="00AB6BA7">
        <w:rPr>
          <w:rFonts w:ascii="Times New Roman" w:hAnsi="Times New Roman" w:cs="Times New Roman"/>
          <w:sz w:val="26"/>
          <w:szCs w:val="26"/>
        </w:rPr>
        <w:t>–</w:t>
      </w:r>
      <w:r w:rsidRPr="00A13E4B">
        <w:rPr>
          <w:rFonts w:ascii="Times New Roman" w:hAnsi="Times New Roman" w:cs="Times New Roman"/>
          <w:sz w:val="26"/>
          <w:szCs w:val="26"/>
        </w:rPr>
        <w:t xml:space="preserve"> важливий елемент підприємницької діяльності. Основна риса характеру підприємця </w:t>
      </w:r>
      <w:r w:rsidR="00AB6BA7">
        <w:rPr>
          <w:rFonts w:ascii="Times New Roman" w:hAnsi="Times New Roman" w:cs="Times New Roman"/>
          <w:sz w:val="26"/>
          <w:szCs w:val="26"/>
        </w:rPr>
        <w:t>–</w:t>
      </w:r>
      <w:r w:rsidRPr="00A13E4B">
        <w:rPr>
          <w:rFonts w:ascii="Times New Roman" w:hAnsi="Times New Roman" w:cs="Times New Roman"/>
          <w:sz w:val="26"/>
          <w:szCs w:val="26"/>
        </w:rPr>
        <w:t xml:space="preserve"> </w:t>
      </w:r>
      <w:r w:rsidR="009A5830">
        <w:rPr>
          <w:rFonts w:ascii="Times New Roman" w:hAnsi="Times New Roman" w:cs="Times New Roman"/>
          <w:sz w:val="26"/>
          <w:szCs w:val="26"/>
        </w:rPr>
        <w:t>схильність</w:t>
      </w:r>
      <w:r w:rsidRPr="00A13E4B">
        <w:rPr>
          <w:rFonts w:ascii="Times New Roman" w:hAnsi="Times New Roman" w:cs="Times New Roman"/>
          <w:sz w:val="26"/>
          <w:szCs w:val="26"/>
        </w:rPr>
        <w:t xml:space="preserve"> до ризику. Досягає успіху той підприємець, який вміє вчасно ризикувати.</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lastRenderedPageBreak/>
        <w:t xml:space="preserve">Підприємницький ризик </w:t>
      </w:r>
      <w:r w:rsidR="009A5830">
        <w:rPr>
          <w:rFonts w:ascii="Times New Roman" w:hAnsi="Times New Roman" w:cs="Times New Roman"/>
          <w:sz w:val="26"/>
          <w:szCs w:val="26"/>
        </w:rPr>
        <w:t>–</w:t>
      </w:r>
      <w:r w:rsidRPr="00A13E4B">
        <w:rPr>
          <w:rFonts w:ascii="Times New Roman" w:hAnsi="Times New Roman" w:cs="Times New Roman"/>
          <w:sz w:val="26"/>
          <w:szCs w:val="26"/>
        </w:rPr>
        <w:t xml:space="preserve"> це імовірність виникнення збитків або неодержання доходів порівняно з варіантом, що прогнозується; невизначеність очікуваних доходів.</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Керівництво Товариства визнає, що діяльність Товариства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валютний ризик, відсотковий ризик та інший ціновий ризик. Управління ризиками керівництвом Товариства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Основним методом оцінки </w:t>
      </w:r>
      <w:r w:rsidRPr="00A13E4B">
        <w:rPr>
          <w:rFonts w:ascii="Times New Roman" w:hAnsi="Times New Roman" w:cs="Times New Roman"/>
          <w:b/>
          <w:sz w:val="26"/>
          <w:szCs w:val="26"/>
        </w:rPr>
        <w:t>кредитних ризиків</w:t>
      </w:r>
      <w:r w:rsidRPr="00A13E4B">
        <w:rPr>
          <w:rFonts w:ascii="Times New Roman" w:hAnsi="Times New Roman" w:cs="Times New Roman"/>
          <w:sz w:val="26"/>
          <w:szCs w:val="26"/>
        </w:rPr>
        <w:t xml:space="preserve"> керівництвом Товариства є оцінка кредитоспроможності контрагентів, для чого використовуються кредитні рейтинги та будь-яка інша доступна інформація  щодо їх спроможності виконувати боргові зобов’язання. Товариство використовує наступні методи управління кредитними ризиками:</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w:t>
      </w:r>
      <w:r w:rsidRPr="00A13E4B">
        <w:rPr>
          <w:rFonts w:ascii="Times New Roman" w:hAnsi="Times New Roman" w:cs="Times New Roman"/>
          <w:sz w:val="26"/>
          <w:szCs w:val="26"/>
        </w:rPr>
        <w:tab/>
        <w:t>ліміти щодо боргових зобов’язань за класами фінансових інструментів;</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w:t>
      </w:r>
      <w:r w:rsidRPr="00A13E4B">
        <w:rPr>
          <w:rFonts w:ascii="Times New Roman" w:hAnsi="Times New Roman" w:cs="Times New Roman"/>
          <w:sz w:val="26"/>
          <w:szCs w:val="26"/>
        </w:rPr>
        <w:tab/>
        <w:t>ліміти щодо боргових зобов’язань перед одним контрагентом (або асоційованою групою);</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w:t>
      </w:r>
      <w:r w:rsidRPr="00A13E4B">
        <w:rPr>
          <w:rFonts w:ascii="Times New Roman" w:hAnsi="Times New Roman" w:cs="Times New Roman"/>
          <w:sz w:val="26"/>
          <w:szCs w:val="26"/>
        </w:rPr>
        <w:tab/>
        <w:t>ліміти щодо вкладень у фінансові інструменти в розрізі кредитних рейтингів за Національною рейтинговою шкалою;</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w:t>
      </w:r>
      <w:r w:rsidRPr="00A13E4B">
        <w:rPr>
          <w:rFonts w:ascii="Times New Roman" w:hAnsi="Times New Roman" w:cs="Times New Roman"/>
          <w:sz w:val="26"/>
          <w:szCs w:val="26"/>
        </w:rPr>
        <w:tab/>
        <w:t>ліміти щодо розміщення депозитів у банках з різними рейтингами та випадки дефолту та неповернення депозитів протягом останніх п’яти років.</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У звітному періоді у Товариства не було фінансових активів прострочених, або що знецінилися, а також не було застав та інших форм забезпечення кредитів одержаних чи наданих.</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b/>
          <w:sz w:val="26"/>
          <w:szCs w:val="26"/>
        </w:rPr>
        <w:t>Ринковий ризик</w:t>
      </w:r>
      <w:r w:rsidRPr="00A13E4B">
        <w:rPr>
          <w:rFonts w:ascii="Times New Roman" w:hAnsi="Times New Roman" w:cs="Times New Roman"/>
          <w:sz w:val="26"/>
          <w:szCs w:val="26"/>
        </w:rPr>
        <w:t xml:space="preserve">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Товариство наражатиметься на ринкові ризики у зв’язку з інвестиціями в акції, облігації та інші фінансові інструменти.</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 xml:space="preserve">Основним методом оцінки </w:t>
      </w:r>
      <w:r w:rsidRPr="00A13E4B">
        <w:rPr>
          <w:rFonts w:ascii="Times New Roman" w:hAnsi="Times New Roman" w:cs="Times New Roman"/>
          <w:b/>
          <w:sz w:val="26"/>
          <w:szCs w:val="26"/>
        </w:rPr>
        <w:t>цінового ризику</w:t>
      </w:r>
      <w:r w:rsidRPr="00A13E4B">
        <w:rPr>
          <w:rFonts w:ascii="Times New Roman" w:hAnsi="Times New Roman" w:cs="Times New Roman"/>
          <w:sz w:val="26"/>
          <w:szCs w:val="26"/>
        </w:rPr>
        <w:t xml:space="preserve"> є аналіз чутливості. Серед методів пом’якшення цінового ризику Товариство використовує диверсифікацію активів та дотримання лімітів на вкладення в акції та інші фінансові інструменти з нефіксованим прибутком.</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b/>
          <w:sz w:val="26"/>
          <w:szCs w:val="26"/>
        </w:rPr>
        <w:t>Відсотковий ризик</w:t>
      </w:r>
      <w:r w:rsidRPr="00A13E4B">
        <w:rPr>
          <w:rFonts w:ascii="Times New Roman" w:hAnsi="Times New Roman" w:cs="Times New Roman"/>
          <w:sz w:val="26"/>
          <w:szCs w:val="26"/>
        </w:rPr>
        <w:t xml:space="preserve"> – це ризик того, що справедлива вартість або майбутні грошові потоки від фінансового інструмента коливатимуться внаслідок змін ринкових відсоткових ставок. Керівництво Товариства усвідомлює, що відсоткові </w:t>
      </w:r>
      <w:r w:rsidRPr="00A13E4B">
        <w:rPr>
          <w:rFonts w:ascii="Times New Roman" w:hAnsi="Times New Roman" w:cs="Times New Roman"/>
          <w:sz w:val="26"/>
          <w:szCs w:val="26"/>
        </w:rPr>
        <w:lastRenderedPageBreak/>
        <w:t>ставки можуть змінюватись і це впливатиме як на доходи Товариства, так і на справедливу вартість чистих активів.</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Усвідомлюючи значні ризики, пов’язані з коливаннями відсоткових ставок у високоінфляційному середовищі, яке є властивим для фінансової системи України, керівництво Товариства контролює частку активів, розміщених у боргових зобов’язаннях у національній валюті з фіксованою відсотковою ставкою. Керівництво Товариства здійснює моніторинг відсоткових ризиків та контролює їх максимально припустимий розмір. У разі зростання відсоткових ризиків Товариство має намір позбуватися боргових фінансових інструментів з фіксованою відсотковою ставкою. Моніторинг відсоткових ризиків здійснюється шляхом оцінки впливу можливих змін відсоткових ставок на вартість відсоткових фінансових інструментів.</w:t>
      </w:r>
    </w:p>
    <w:p w:rsidR="00A210B8" w:rsidRPr="00A13E4B"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b/>
          <w:sz w:val="26"/>
          <w:szCs w:val="26"/>
        </w:rPr>
        <w:t>Ризик ліквідності</w:t>
      </w:r>
      <w:r w:rsidRPr="00A13E4B">
        <w:rPr>
          <w:rFonts w:ascii="Times New Roman" w:hAnsi="Times New Roman" w:cs="Times New Roman"/>
          <w:sz w:val="26"/>
          <w:szCs w:val="26"/>
        </w:rPr>
        <w:t xml:space="preserve"> – 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w:t>
      </w:r>
    </w:p>
    <w:p w:rsidR="00A210B8" w:rsidRDefault="00A210B8" w:rsidP="007A1FD0">
      <w:pPr>
        <w:spacing w:line="276" w:lineRule="auto"/>
        <w:ind w:right="142" w:firstLine="567"/>
        <w:jc w:val="both"/>
        <w:rPr>
          <w:rFonts w:ascii="Times New Roman" w:hAnsi="Times New Roman" w:cs="Times New Roman"/>
          <w:sz w:val="26"/>
          <w:szCs w:val="26"/>
        </w:rPr>
      </w:pPr>
      <w:r w:rsidRPr="00A13E4B">
        <w:rPr>
          <w:rFonts w:ascii="Times New Roman" w:hAnsi="Times New Roman" w:cs="Times New Roman"/>
          <w:sz w:val="26"/>
          <w:szCs w:val="26"/>
        </w:rPr>
        <w:t>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p>
    <w:p w:rsidR="009D0D25" w:rsidRDefault="009D0D25" w:rsidP="007A1FD0">
      <w:pPr>
        <w:spacing w:line="276" w:lineRule="auto"/>
        <w:ind w:right="142" w:firstLine="567"/>
        <w:jc w:val="both"/>
        <w:rPr>
          <w:rFonts w:ascii="Times New Roman" w:hAnsi="Times New Roman" w:cs="Times New Roman"/>
          <w:sz w:val="26"/>
          <w:szCs w:val="26"/>
        </w:rPr>
      </w:pPr>
    </w:p>
    <w:p w:rsidR="009D0D25" w:rsidRPr="00A13E4B" w:rsidRDefault="009D0D25" w:rsidP="007A1FD0">
      <w:pPr>
        <w:spacing w:line="276" w:lineRule="auto"/>
        <w:ind w:right="142" w:firstLine="567"/>
        <w:jc w:val="both"/>
        <w:rPr>
          <w:rFonts w:ascii="Times New Roman" w:hAnsi="Times New Roman" w:cs="Times New Roman"/>
          <w:sz w:val="26"/>
          <w:szCs w:val="26"/>
        </w:rPr>
      </w:pPr>
    </w:p>
    <w:p w:rsidR="00A210B8" w:rsidRPr="009D0D25" w:rsidRDefault="00A13E4B" w:rsidP="009D0D25">
      <w:pPr>
        <w:spacing w:line="276" w:lineRule="auto"/>
        <w:ind w:right="141"/>
        <w:jc w:val="both"/>
        <w:rPr>
          <w:rFonts w:ascii="Times New Roman" w:hAnsi="Times New Roman" w:cs="Times New Roman"/>
          <w:b/>
          <w:sz w:val="24"/>
          <w:szCs w:val="26"/>
        </w:rPr>
      </w:pPr>
      <w:r w:rsidRPr="009D0D25">
        <w:rPr>
          <w:rFonts w:ascii="Times New Roman" w:hAnsi="Times New Roman" w:cs="Times New Roman"/>
          <w:b/>
          <w:sz w:val="24"/>
          <w:szCs w:val="26"/>
        </w:rPr>
        <w:t>Голова правління – генеральний директор        _______________         Воронін В. О.</w:t>
      </w:r>
    </w:p>
    <w:p w:rsidR="00A13E4B" w:rsidRPr="009D0D25" w:rsidRDefault="00A13E4B" w:rsidP="009D0D25">
      <w:pPr>
        <w:spacing w:line="276" w:lineRule="auto"/>
        <w:ind w:right="141"/>
        <w:jc w:val="both"/>
        <w:rPr>
          <w:rFonts w:ascii="Times New Roman" w:hAnsi="Times New Roman" w:cs="Times New Roman"/>
          <w:b/>
          <w:sz w:val="24"/>
          <w:szCs w:val="26"/>
        </w:rPr>
      </w:pPr>
      <w:r w:rsidRPr="009D0D25">
        <w:rPr>
          <w:rFonts w:ascii="Times New Roman" w:hAnsi="Times New Roman" w:cs="Times New Roman"/>
          <w:b/>
          <w:sz w:val="24"/>
          <w:szCs w:val="26"/>
        </w:rPr>
        <w:t xml:space="preserve">Головний бухгалтер                                            </w:t>
      </w:r>
      <w:r w:rsidR="009D0D25">
        <w:rPr>
          <w:rFonts w:ascii="Times New Roman" w:hAnsi="Times New Roman" w:cs="Times New Roman"/>
          <w:b/>
          <w:sz w:val="24"/>
          <w:szCs w:val="26"/>
        </w:rPr>
        <w:t xml:space="preserve">    </w:t>
      </w:r>
      <w:r w:rsidRPr="009D0D25">
        <w:rPr>
          <w:rFonts w:ascii="Times New Roman" w:hAnsi="Times New Roman" w:cs="Times New Roman"/>
          <w:b/>
          <w:sz w:val="24"/>
          <w:szCs w:val="26"/>
        </w:rPr>
        <w:t xml:space="preserve">  _______________        Денисов П. Т.</w:t>
      </w:r>
    </w:p>
    <w:p w:rsidR="00A13E4B" w:rsidRPr="009D0D25" w:rsidRDefault="00A13E4B" w:rsidP="009D0D25">
      <w:pPr>
        <w:rPr>
          <w:rFonts w:ascii="Times New Roman" w:hAnsi="Times New Roman" w:cs="Times New Roman"/>
          <w:b/>
          <w:sz w:val="24"/>
          <w:szCs w:val="26"/>
        </w:rPr>
      </w:pPr>
      <w:r w:rsidRPr="009D0D25">
        <w:rPr>
          <w:rFonts w:ascii="Times New Roman" w:hAnsi="Times New Roman" w:cs="Times New Roman"/>
          <w:b/>
          <w:sz w:val="24"/>
          <w:szCs w:val="26"/>
        </w:rPr>
        <w:br w:type="page"/>
      </w:r>
    </w:p>
    <w:p w:rsidR="00A13E4B" w:rsidRDefault="00A13E4B" w:rsidP="007A1FD0">
      <w:pPr>
        <w:spacing w:line="276" w:lineRule="auto"/>
        <w:ind w:right="141" w:firstLine="567"/>
        <w:jc w:val="right"/>
        <w:rPr>
          <w:rFonts w:ascii="Times New Roman" w:hAnsi="Times New Roman" w:cs="Times New Roman"/>
          <w:sz w:val="26"/>
          <w:szCs w:val="26"/>
        </w:rPr>
      </w:pPr>
      <w:r>
        <w:rPr>
          <w:rFonts w:ascii="Times New Roman" w:hAnsi="Times New Roman" w:cs="Times New Roman"/>
          <w:sz w:val="26"/>
          <w:szCs w:val="26"/>
        </w:rPr>
        <w:lastRenderedPageBreak/>
        <w:t>Додаток 1</w:t>
      </w:r>
    </w:p>
    <w:p w:rsidR="009D0D25" w:rsidRDefault="009D0D25" w:rsidP="009D0D25">
      <w:pPr>
        <w:spacing w:line="276" w:lineRule="auto"/>
        <w:ind w:right="141" w:firstLine="567"/>
        <w:jc w:val="both"/>
        <w:rPr>
          <w:rFonts w:ascii="Times New Roman" w:hAnsi="Times New Roman" w:cs="Times New Roman"/>
          <w:sz w:val="26"/>
          <w:szCs w:val="26"/>
        </w:rPr>
      </w:pPr>
    </w:p>
    <w:p w:rsidR="00BB7A7C" w:rsidRPr="00A13E4B" w:rsidRDefault="00280128" w:rsidP="007A1FD0">
      <w:pPr>
        <w:spacing w:line="276" w:lineRule="auto"/>
        <w:ind w:right="141" w:firstLine="567"/>
        <w:jc w:val="both"/>
        <w:rPr>
          <w:rFonts w:ascii="Times New Roman" w:hAnsi="Times New Roman" w:cs="Times New Roman"/>
          <w:sz w:val="26"/>
          <w:szCs w:val="26"/>
        </w:rPr>
      </w:pPr>
      <w:r w:rsidRPr="00A13E4B">
        <w:rPr>
          <w:rFonts w:ascii="Times New Roman" w:hAnsi="Times New Roman" w:cs="Times New Roman"/>
          <w:noProof/>
          <w:sz w:val="26"/>
          <w:szCs w:val="26"/>
          <w:lang w:eastAsia="uk-UA"/>
        </w:rPr>
        <mc:AlternateContent>
          <mc:Choice Requires="wps">
            <w:drawing>
              <wp:anchor distT="0" distB="0" distL="114300" distR="114300" simplePos="0" relativeHeight="251659264" behindDoc="0" locked="0" layoutInCell="1" allowOverlap="1" wp14:anchorId="4A97B1D9" wp14:editId="388EBFD4">
                <wp:simplePos x="0" y="0"/>
                <wp:positionH relativeFrom="column">
                  <wp:posOffset>4874840</wp:posOffset>
                </wp:positionH>
                <wp:positionV relativeFrom="paragraph">
                  <wp:posOffset>3942798</wp:posOffset>
                </wp:positionV>
                <wp:extent cx="1709530" cy="993913"/>
                <wp:effectExtent l="0" t="0" r="5080" b="0"/>
                <wp:wrapNone/>
                <wp:docPr id="3" name="Прямоугольник 3"/>
                <wp:cNvGraphicFramePr/>
                <a:graphic xmlns:a="http://schemas.openxmlformats.org/drawingml/2006/main">
                  <a:graphicData uri="http://schemas.microsoft.com/office/word/2010/wordprocessingShape">
                    <wps:wsp>
                      <wps:cNvSpPr/>
                      <wps:spPr>
                        <a:xfrm>
                          <a:off x="0" y="0"/>
                          <a:ext cx="1709530" cy="99391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624AE5A" id="Прямоугольник 3" o:spid="_x0000_s1026" style="position:absolute;margin-left:383.85pt;margin-top:310.45pt;width:134.6pt;height:7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" fillcolor="white [3201]" stroked="f" strokeweight="1pt"/>
            </w:pict>
          </mc:Fallback>
        </mc:AlternateContent>
      </w:r>
      <w:r w:rsidR="00050DB5" w:rsidRPr="00A13E4B">
        <w:rPr>
          <w:rFonts w:ascii="Times New Roman" w:hAnsi="Times New Roman" w:cs="Times New Roman"/>
          <w:sz w:val="26"/>
          <w:szCs w:val="26"/>
        </w:rPr>
        <w:br/>
      </w:r>
      <w:r w:rsidR="009D0D25" w:rsidRPr="00A13E4B">
        <w:rPr>
          <w:rFonts w:ascii="Times New Roman" w:hAnsi="Times New Roman" w:cs="Times New Roman"/>
          <w:noProof/>
          <w:sz w:val="26"/>
          <w:szCs w:val="26"/>
          <w:lang w:eastAsia="uk-UA"/>
        </w:rPr>
        <w:drawing>
          <wp:inline distT="0" distB="0" distL="0" distR="0" wp14:anchorId="74CFA772" wp14:editId="5D57ACAF">
            <wp:extent cx="8665890" cy="5709007"/>
            <wp:effectExtent l="0" t="7302" r="0" b="0"/>
            <wp:docPr id="1" name="Рисунок 1" descr="C:\Users\836D~1\AppData\Local\Temp\216\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216\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677327" cy="5716541"/>
                    </a:xfrm>
                    <a:prstGeom prst="rect">
                      <a:avLst/>
                    </a:prstGeom>
                    <a:noFill/>
                    <a:ln>
                      <a:noFill/>
                    </a:ln>
                  </pic:spPr>
                </pic:pic>
              </a:graphicData>
            </a:graphic>
          </wp:inline>
        </w:drawing>
      </w:r>
    </w:p>
    <w:sectPr w:rsidR="00BB7A7C" w:rsidRPr="00A13E4B" w:rsidSect="00625A97">
      <w:pgSz w:w="11906" w:h="16838"/>
      <w:pgMar w:top="850" w:right="850" w:bottom="850" w:left="1417" w:header="708" w:footer="708"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88D"/>
    <w:multiLevelType w:val="hybridMultilevel"/>
    <w:tmpl w:val="3EAA7944"/>
    <w:lvl w:ilvl="0" w:tplc="B4F6DDCA">
      <w:start w:val="6"/>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9075FE5"/>
    <w:multiLevelType w:val="hybridMultilevel"/>
    <w:tmpl w:val="1D7A4AA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2386178B"/>
    <w:multiLevelType w:val="hybridMultilevel"/>
    <w:tmpl w:val="CCF42B2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26DF6D0B"/>
    <w:multiLevelType w:val="hybridMultilevel"/>
    <w:tmpl w:val="09C0738A"/>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285047D7"/>
    <w:multiLevelType w:val="hybridMultilevel"/>
    <w:tmpl w:val="8D72CABA"/>
    <w:lvl w:ilvl="0" w:tplc="04220005">
      <w:start w:val="1"/>
      <w:numFmt w:val="bullet"/>
      <w:lvlText w:val=""/>
      <w:lvlJc w:val="left"/>
      <w:pPr>
        <w:ind w:left="360" w:hanging="360"/>
      </w:pPr>
      <w:rPr>
        <w:rFonts w:ascii="Wingdings" w:hAnsi="Wingding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29DC1D6C"/>
    <w:multiLevelType w:val="hybridMultilevel"/>
    <w:tmpl w:val="C9684A5C"/>
    <w:lvl w:ilvl="0" w:tplc="696CD9FA">
      <w:start w:val="6"/>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2E790326"/>
    <w:multiLevelType w:val="hybridMultilevel"/>
    <w:tmpl w:val="345E4B2A"/>
    <w:lvl w:ilvl="0" w:tplc="ECD8D1B2">
      <w:start w:val="1"/>
      <w:numFmt w:val="upperRoman"/>
      <w:lvlText w:val="%1."/>
      <w:lvlJc w:val="left"/>
      <w:pPr>
        <w:ind w:left="1430" w:hanging="72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nsid w:val="421A2B7C"/>
    <w:multiLevelType w:val="hybridMultilevel"/>
    <w:tmpl w:val="CE261084"/>
    <w:lvl w:ilvl="0" w:tplc="04220001">
      <w:start w:val="1"/>
      <w:numFmt w:val="bullet"/>
      <w:lvlText w:val=""/>
      <w:lvlJc w:val="left"/>
      <w:pPr>
        <w:ind w:left="1429" w:hanging="360"/>
      </w:pPr>
      <w:rPr>
        <w:rFonts w:ascii="Symbol" w:hAnsi="Symbol"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498F2D79"/>
    <w:multiLevelType w:val="hybridMultilevel"/>
    <w:tmpl w:val="885239C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6BF7283F"/>
    <w:multiLevelType w:val="multilevel"/>
    <w:tmpl w:val="61FE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6"/>
  </w:num>
  <w:num w:numId="5">
    <w:abstractNumId w:val="9"/>
  </w:num>
  <w:num w:numId="6">
    <w:abstractNumId w:val="2"/>
  </w:num>
  <w:num w:numId="7">
    <w:abstractNumId w:val="7"/>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56"/>
    <w:rsid w:val="00035BCD"/>
    <w:rsid w:val="00050DB5"/>
    <w:rsid w:val="00080639"/>
    <w:rsid w:val="00081662"/>
    <w:rsid w:val="000C4DF6"/>
    <w:rsid w:val="00115DA9"/>
    <w:rsid w:val="00116E05"/>
    <w:rsid w:val="00142568"/>
    <w:rsid w:val="0014258D"/>
    <w:rsid w:val="00175C71"/>
    <w:rsid w:val="0019076F"/>
    <w:rsid w:val="001A15D3"/>
    <w:rsid w:val="001A7F5D"/>
    <w:rsid w:val="001D4811"/>
    <w:rsid w:val="0021697D"/>
    <w:rsid w:val="0022579F"/>
    <w:rsid w:val="00240946"/>
    <w:rsid w:val="00260C0F"/>
    <w:rsid w:val="00280128"/>
    <w:rsid w:val="002A2782"/>
    <w:rsid w:val="002F5FBB"/>
    <w:rsid w:val="003859B4"/>
    <w:rsid w:val="003873FA"/>
    <w:rsid w:val="00394570"/>
    <w:rsid w:val="003C2B3B"/>
    <w:rsid w:val="003C72F3"/>
    <w:rsid w:val="003D5AC8"/>
    <w:rsid w:val="004024D5"/>
    <w:rsid w:val="004464B3"/>
    <w:rsid w:val="004C4599"/>
    <w:rsid w:val="005C190B"/>
    <w:rsid w:val="005E12C0"/>
    <w:rsid w:val="00602B32"/>
    <w:rsid w:val="006163E7"/>
    <w:rsid w:val="006246D6"/>
    <w:rsid w:val="00625A97"/>
    <w:rsid w:val="00684E33"/>
    <w:rsid w:val="006957A7"/>
    <w:rsid w:val="006A3926"/>
    <w:rsid w:val="007725DF"/>
    <w:rsid w:val="007731E3"/>
    <w:rsid w:val="007A1FD0"/>
    <w:rsid w:val="007C5B9F"/>
    <w:rsid w:val="007D50DF"/>
    <w:rsid w:val="007F1BBD"/>
    <w:rsid w:val="007F5DBE"/>
    <w:rsid w:val="00861C84"/>
    <w:rsid w:val="008A4539"/>
    <w:rsid w:val="008F65B3"/>
    <w:rsid w:val="00904E5D"/>
    <w:rsid w:val="0091075D"/>
    <w:rsid w:val="00917FBD"/>
    <w:rsid w:val="009215FD"/>
    <w:rsid w:val="00955F39"/>
    <w:rsid w:val="009A5830"/>
    <w:rsid w:val="009B4251"/>
    <w:rsid w:val="009B5B1F"/>
    <w:rsid w:val="009C7548"/>
    <w:rsid w:val="009D0D25"/>
    <w:rsid w:val="009D5C91"/>
    <w:rsid w:val="00A13E4B"/>
    <w:rsid w:val="00A210B8"/>
    <w:rsid w:val="00A72320"/>
    <w:rsid w:val="00A73F2C"/>
    <w:rsid w:val="00AB6BA7"/>
    <w:rsid w:val="00AC1ECF"/>
    <w:rsid w:val="00B4510C"/>
    <w:rsid w:val="00B4727B"/>
    <w:rsid w:val="00B71614"/>
    <w:rsid w:val="00B82157"/>
    <w:rsid w:val="00BB7A7C"/>
    <w:rsid w:val="00BC30F0"/>
    <w:rsid w:val="00BE24CE"/>
    <w:rsid w:val="00BF7AC3"/>
    <w:rsid w:val="00C402F9"/>
    <w:rsid w:val="00C722E2"/>
    <w:rsid w:val="00CB6558"/>
    <w:rsid w:val="00CD45A4"/>
    <w:rsid w:val="00CF01D5"/>
    <w:rsid w:val="00D24E56"/>
    <w:rsid w:val="00D5791C"/>
    <w:rsid w:val="00D70A81"/>
    <w:rsid w:val="00DF2AE9"/>
    <w:rsid w:val="00E43B94"/>
    <w:rsid w:val="00E57112"/>
    <w:rsid w:val="00E675EE"/>
    <w:rsid w:val="00E80969"/>
    <w:rsid w:val="00EB11E4"/>
    <w:rsid w:val="00EF508F"/>
    <w:rsid w:val="00EF567A"/>
    <w:rsid w:val="00F2698E"/>
    <w:rsid w:val="00F41D85"/>
    <w:rsid w:val="00F82D1E"/>
    <w:rsid w:val="00F850B0"/>
    <w:rsid w:val="00FA20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uk-U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E3"/>
  </w:style>
  <w:style w:type="paragraph" w:styleId="1">
    <w:name w:val="heading 1"/>
    <w:basedOn w:val="a"/>
    <w:next w:val="a"/>
    <w:link w:val="10"/>
    <w:uiPriority w:val="9"/>
    <w:qFormat/>
    <w:rsid w:val="00F2698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F2698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F269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2698E"/>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2698E"/>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2698E"/>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269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269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269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10C"/>
    <w:pPr>
      <w:ind w:left="720"/>
      <w:contextualSpacing/>
    </w:pPr>
  </w:style>
  <w:style w:type="table" w:styleId="a4">
    <w:name w:val="Table Grid"/>
    <w:basedOn w:val="a1"/>
    <w:uiPriority w:val="39"/>
    <w:rsid w:val="001D481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ДинТекстТабл"/>
    <w:basedOn w:val="a"/>
    <w:rsid w:val="001D4811"/>
    <w:pPr>
      <w:widowControl w:val="0"/>
      <w:spacing w:after="0" w:line="240" w:lineRule="auto"/>
    </w:pPr>
    <w:rPr>
      <w:rFonts w:ascii="Times New Roman" w:eastAsia="Times New Roman" w:hAnsi="Times New Roman" w:cs="Times New Roman"/>
      <w:szCs w:val="20"/>
      <w:lang w:val="en-US" w:eastAsia="ru-RU"/>
    </w:rPr>
  </w:style>
  <w:style w:type="table" w:customStyle="1" w:styleId="-41">
    <w:name w:val="Таблица-сетка 41"/>
    <w:basedOn w:val="a1"/>
    <w:uiPriority w:val="49"/>
    <w:rsid w:val="00B8215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0">
    <w:name w:val="Заголовок 1 Знак"/>
    <w:basedOn w:val="a0"/>
    <w:link w:val="1"/>
    <w:uiPriority w:val="9"/>
    <w:rsid w:val="00F2698E"/>
    <w:rPr>
      <w:rFonts w:asciiTheme="majorHAnsi" w:eastAsiaTheme="majorEastAsia" w:hAnsiTheme="majorHAnsi" w:cstheme="majorBidi"/>
      <w:color w:val="2E74B5" w:themeColor="accent1" w:themeShade="BF"/>
      <w:sz w:val="36"/>
      <w:szCs w:val="36"/>
    </w:rPr>
  </w:style>
  <w:style w:type="paragraph" w:styleId="a6">
    <w:name w:val="Balloon Text"/>
    <w:basedOn w:val="a"/>
    <w:link w:val="a7"/>
    <w:uiPriority w:val="99"/>
    <w:semiHidden/>
    <w:unhideWhenUsed/>
    <w:rsid w:val="00E809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969"/>
    <w:rPr>
      <w:rFonts w:ascii="Tahoma" w:hAnsi="Tahoma" w:cs="Tahoma"/>
      <w:sz w:val="16"/>
      <w:szCs w:val="16"/>
    </w:rPr>
  </w:style>
  <w:style w:type="character" w:customStyle="1" w:styleId="20">
    <w:name w:val="Заголовок 2 Знак"/>
    <w:basedOn w:val="a0"/>
    <w:link w:val="2"/>
    <w:uiPriority w:val="9"/>
    <w:semiHidden/>
    <w:rsid w:val="00F2698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F2698E"/>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F2698E"/>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F2698E"/>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F2698E"/>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F2698E"/>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F2698E"/>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F2698E"/>
    <w:rPr>
      <w:rFonts w:asciiTheme="majorHAnsi" w:eastAsiaTheme="majorEastAsia" w:hAnsiTheme="majorHAnsi" w:cstheme="majorBidi"/>
      <w:i/>
      <w:iCs/>
      <w:smallCaps/>
      <w:color w:val="595959" w:themeColor="text1" w:themeTint="A6"/>
    </w:rPr>
  </w:style>
  <w:style w:type="paragraph" w:styleId="a8">
    <w:name w:val="caption"/>
    <w:basedOn w:val="a"/>
    <w:next w:val="a"/>
    <w:uiPriority w:val="35"/>
    <w:semiHidden/>
    <w:unhideWhenUsed/>
    <w:qFormat/>
    <w:rsid w:val="00F2698E"/>
    <w:pPr>
      <w:spacing w:line="240" w:lineRule="auto"/>
    </w:pPr>
    <w:rPr>
      <w:b/>
      <w:bCs/>
      <w:color w:val="404040" w:themeColor="text1" w:themeTint="BF"/>
      <w:sz w:val="20"/>
      <w:szCs w:val="20"/>
    </w:rPr>
  </w:style>
  <w:style w:type="paragraph" w:styleId="a9">
    <w:name w:val="Title"/>
    <w:basedOn w:val="a"/>
    <w:next w:val="a"/>
    <w:link w:val="aa"/>
    <w:uiPriority w:val="10"/>
    <w:qFormat/>
    <w:rsid w:val="00F2698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a">
    <w:name w:val="Название Знак"/>
    <w:basedOn w:val="a0"/>
    <w:link w:val="a9"/>
    <w:uiPriority w:val="10"/>
    <w:rsid w:val="00F2698E"/>
    <w:rPr>
      <w:rFonts w:asciiTheme="majorHAnsi" w:eastAsiaTheme="majorEastAsia" w:hAnsiTheme="majorHAnsi" w:cstheme="majorBidi"/>
      <w:color w:val="2E74B5" w:themeColor="accent1" w:themeShade="BF"/>
      <w:spacing w:val="-7"/>
      <w:sz w:val="80"/>
      <w:szCs w:val="80"/>
    </w:rPr>
  </w:style>
  <w:style w:type="paragraph" w:styleId="ab">
    <w:name w:val="Subtitle"/>
    <w:basedOn w:val="a"/>
    <w:next w:val="a"/>
    <w:link w:val="ac"/>
    <w:uiPriority w:val="11"/>
    <w:qFormat/>
    <w:rsid w:val="00F269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c">
    <w:name w:val="Подзаголовок Знак"/>
    <w:basedOn w:val="a0"/>
    <w:link w:val="ab"/>
    <w:uiPriority w:val="11"/>
    <w:rsid w:val="00F2698E"/>
    <w:rPr>
      <w:rFonts w:asciiTheme="majorHAnsi" w:eastAsiaTheme="majorEastAsia" w:hAnsiTheme="majorHAnsi" w:cstheme="majorBidi"/>
      <w:color w:val="404040" w:themeColor="text1" w:themeTint="BF"/>
      <w:sz w:val="30"/>
      <w:szCs w:val="30"/>
    </w:rPr>
  </w:style>
  <w:style w:type="character" w:styleId="ad">
    <w:name w:val="Strong"/>
    <w:basedOn w:val="a0"/>
    <w:uiPriority w:val="22"/>
    <w:qFormat/>
    <w:rsid w:val="00F2698E"/>
    <w:rPr>
      <w:b/>
      <w:bCs/>
    </w:rPr>
  </w:style>
  <w:style w:type="character" w:styleId="ae">
    <w:name w:val="Emphasis"/>
    <w:basedOn w:val="a0"/>
    <w:uiPriority w:val="20"/>
    <w:qFormat/>
    <w:rsid w:val="00F2698E"/>
    <w:rPr>
      <w:i/>
      <w:iCs/>
    </w:rPr>
  </w:style>
  <w:style w:type="paragraph" w:styleId="af">
    <w:name w:val="No Spacing"/>
    <w:uiPriority w:val="1"/>
    <w:qFormat/>
    <w:rsid w:val="00F2698E"/>
    <w:pPr>
      <w:spacing w:after="0" w:line="240" w:lineRule="auto"/>
    </w:pPr>
  </w:style>
  <w:style w:type="paragraph" w:styleId="21">
    <w:name w:val="Quote"/>
    <w:basedOn w:val="a"/>
    <w:next w:val="a"/>
    <w:link w:val="22"/>
    <w:uiPriority w:val="29"/>
    <w:qFormat/>
    <w:rsid w:val="00F2698E"/>
    <w:pPr>
      <w:spacing w:before="240" w:after="240" w:line="252" w:lineRule="auto"/>
      <w:ind w:left="864" w:right="864"/>
      <w:jc w:val="center"/>
    </w:pPr>
    <w:rPr>
      <w:i/>
      <w:iCs/>
    </w:rPr>
  </w:style>
  <w:style w:type="character" w:customStyle="1" w:styleId="22">
    <w:name w:val="Цитата 2 Знак"/>
    <w:basedOn w:val="a0"/>
    <w:link w:val="21"/>
    <w:uiPriority w:val="29"/>
    <w:rsid w:val="00F2698E"/>
    <w:rPr>
      <w:i/>
      <w:iCs/>
    </w:rPr>
  </w:style>
  <w:style w:type="paragraph" w:styleId="af0">
    <w:name w:val="Intense Quote"/>
    <w:basedOn w:val="a"/>
    <w:next w:val="a"/>
    <w:link w:val="af1"/>
    <w:uiPriority w:val="30"/>
    <w:qFormat/>
    <w:rsid w:val="00F2698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1">
    <w:name w:val="Выделенная цитата Знак"/>
    <w:basedOn w:val="a0"/>
    <w:link w:val="af0"/>
    <w:uiPriority w:val="30"/>
    <w:rsid w:val="00F2698E"/>
    <w:rPr>
      <w:rFonts w:asciiTheme="majorHAnsi" w:eastAsiaTheme="majorEastAsia" w:hAnsiTheme="majorHAnsi" w:cstheme="majorBidi"/>
      <w:color w:val="5B9BD5" w:themeColor="accent1"/>
      <w:sz w:val="28"/>
      <w:szCs w:val="28"/>
    </w:rPr>
  </w:style>
  <w:style w:type="character" w:styleId="af2">
    <w:name w:val="Subtle Emphasis"/>
    <w:basedOn w:val="a0"/>
    <w:uiPriority w:val="19"/>
    <w:qFormat/>
    <w:rsid w:val="00F2698E"/>
    <w:rPr>
      <w:i/>
      <w:iCs/>
      <w:color w:val="595959" w:themeColor="text1" w:themeTint="A6"/>
    </w:rPr>
  </w:style>
  <w:style w:type="character" w:styleId="af3">
    <w:name w:val="Intense Emphasis"/>
    <w:basedOn w:val="a0"/>
    <w:uiPriority w:val="21"/>
    <w:qFormat/>
    <w:rsid w:val="00F2698E"/>
    <w:rPr>
      <w:b/>
      <w:bCs/>
      <w:i/>
      <w:iCs/>
    </w:rPr>
  </w:style>
  <w:style w:type="character" w:styleId="af4">
    <w:name w:val="Subtle Reference"/>
    <w:basedOn w:val="a0"/>
    <w:uiPriority w:val="31"/>
    <w:qFormat/>
    <w:rsid w:val="00F2698E"/>
    <w:rPr>
      <w:smallCaps/>
      <w:color w:val="404040" w:themeColor="text1" w:themeTint="BF"/>
    </w:rPr>
  </w:style>
  <w:style w:type="character" w:styleId="af5">
    <w:name w:val="Intense Reference"/>
    <w:basedOn w:val="a0"/>
    <w:uiPriority w:val="32"/>
    <w:qFormat/>
    <w:rsid w:val="00F2698E"/>
    <w:rPr>
      <w:b/>
      <w:bCs/>
      <w:smallCaps/>
      <w:u w:val="single"/>
    </w:rPr>
  </w:style>
  <w:style w:type="character" w:styleId="af6">
    <w:name w:val="Book Title"/>
    <w:basedOn w:val="a0"/>
    <w:uiPriority w:val="33"/>
    <w:qFormat/>
    <w:rsid w:val="00F2698E"/>
    <w:rPr>
      <w:b/>
      <w:bCs/>
      <w:smallCaps/>
    </w:rPr>
  </w:style>
  <w:style w:type="paragraph" w:styleId="af7">
    <w:name w:val="TOC Heading"/>
    <w:basedOn w:val="1"/>
    <w:next w:val="a"/>
    <w:uiPriority w:val="39"/>
    <w:semiHidden/>
    <w:unhideWhenUsed/>
    <w:qFormat/>
    <w:rsid w:val="00F2698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uk-U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E3"/>
  </w:style>
  <w:style w:type="paragraph" w:styleId="1">
    <w:name w:val="heading 1"/>
    <w:basedOn w:val="a"/>
    <w:next w:val="a"/>
    <w:link w:val="10"/>
    <w:uiPriority w:val="9"/>
    <w:qFormat/>
    <w:rsid w:val="00F2698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F2698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F269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2698E"/>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2698E"/>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2698E"/>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269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269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269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10C"/>
    <w:pPr>
      <w:ind w:left="720"/>
      <w:contextualSpacing/>
    </w:pPr>
  </w:style>
  <w:style w:type="table" w:styleId="a4">
    <w:name w:val="Table Grid"/>
    <w:basedOn w:val="a1"/>
    <w:uiPriority w:val="39"/>
    <w:rsid w:val="001D481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ДинТекстТабл"/>
    <w:basedOn w:val="a"/>
    <w:rsid w:val="001D4811"/>
    <w:pPr>
      <w:widowControl w:val="0"/>
      <w:spacing w:after="0" w:line="240" w:lineRule="auto"/>
    </w:pPr>
    <w:rPr>
      <w:rFonts w:ascii="Times New Roman" w:eastAsia="Times New Roman" w:hAnsi="Times New Roman" w:cs="Times New Roman"/>
      <w:szCs w:val="20"/>
      <w:lang w:val="en-US" w:eastAsia="ru-RU"/>
    </w:rPr>
  </w:style>
  <w:style w:type="table" w:customStyle="1" w:styleId="-41">
    <w:name w:val="Таблица-сетка 41"/>
    <w:basedOn w:val="a1"/>
    <w:uiPriority w:val="49"/>
    <w:rsid w:val="00B8215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0">
    <w:name w:val="Заголовок 1 Знак"/>
    <w:basedOn w:val="a0"/>
    <w:link w:val="1"/>
    <w:uiPriority w:val="9"/>
    <w:rsid w:val="00F2698E"/>
    <w:rPr>
      <w:rFonts w:asciiTheme="majorHAnsi" w:eastAsiaTheme="majorEastAsia" w:hAnsiTheme="majorHAnsi" w:cstheme="majorBidi"/>
      <w:color w:val="2E74B5" w:themeColor="accent1" w:themeShade="BF"/>
      <w:sz w:val="36"/>
      <w:szCs w:val="36"/>
    </w:rPr>
  </w:style>
  <w:style w:type="paragraph" w:styleId="a6">
    <w:name w:val="Balloon Text"/>
    <w:basedOn w:val="a"/>
    <w:link w:val="a7"/>
    <w:uiPriority w:val="99"/>
    <w:semiHidden/>
    <w:unhideWhenUsed/>
    <w:rsid w:val="00E809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969"/>
    <w:rPr>
      <w:rFonts w:ascii="Tahoma" w:hAnsi="Tahoma" w:cs="Tahoma"/>
      <w:sz w:val="16"/>
      <w:szCs w:val="16"/>
    </w:rPr>
  </w:style>
  <w:style w:type="character" w:customStyle="1" w:styleId="20">
    <w:name w:val="Заголовок 2 Знак"/>
    <w:basedOn w:val="a0"/>
    <w:link w:val="2"/>
    <w:uiPriority w:val="9"/>
    <w:semiHidden/>
    <w:rsid w:val="00F2698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F2698E"/>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F2698E"/>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F2698E"/>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F2698E"/>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F2698E"/>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F2698E"/>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F2698E"/>
    <w:rPr>
      <w:rFonts w:asciiTheme="majorHAnsi" w:eastAsiaTheme="majorEastAsia" w:hAnsiTheme="majorHAnsi" w:cstheme="majorBidi"/>
      <w:i/>
      <w:iCs/>
      <w:smallCaps/>
      <w:color w:val="595959" w:themeColor="text1" w:themeTint="A6"/>
    </w:rPr>
  </w:style>
  <w:style w:type="paragraph" w:styleId="a8">
    <w:name w:val="caption"/>
    <w:basedOn w:val="a"/>
    <w:next w:val="a"/>
    <w:uiPriority w:val="35"/>
    <w:semiHidden/>
    <w:unhideWhenUsed/>
    <w:qFormat/>
    <w:rsid w:val="00F2698E"/>
    <w:pPr>
      <w:spacing w:line="240" w:lineRule="auto"/>
    </w:pPr>
    <w:rPr>
      <w:b/>
      <w:bCs/>
      <w:color w:val="404040" w:themeColor="text1" w:themeTint="BF"/>
      <w:sz w:val="20"/>
      <w:szCs w:val="20"/>
    </w:rPr>
  </w:style>
  <w:style w:type="paragraph" w:styleId="a9">
    <w:name w:val="Title"/>
    <w:basedOn w:val="a"/>
    <w:next w:val="a"/>
    <w:link w:val="aa"/>
    <w:uiPriority w:val="10"/>
    <w:qFormat/>
    <w:rsid w:val="00F2698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a">
    <w:name w:val="Название Знак"/>
    <w:basedOn w:val="a0"/>
    <w:link w:val="a9"/>
    <w:uiPriority w:val="10"/>
    <w:rsid w:val="00F2698E"/>
    <w:rPr>
      <w:rFonts w:asciiTheme="majorHAnsi" w:eastAsiaTheme="majorEastAsia" w:hAnsiTheme="majorHAnsi" w:cstheme="majorBidi"/>
      <w:color w:val="2E74B5" w:themeColor="accent1" w:themeShade="BF"/>
      <w:spacing w:val="-7"/>
      <w:sz w:val="80"/>
      <w:szCs w:val="80"/>
    </w:rPr>
  </w:style>
  <w:style w:type="paragraph" w:styleId="ab">
    <w:name w:val="Subtitle"/>
    <w:basedOn w:val="a"/>
    <w:next w:val="a"/>
    <w:link w:val="ac"/>
    <w:uiPriority w:val="11"/>
    <w:qFormat/>
    <w:rsid w:val="00F269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c">
    <w:name w:val="Подзаголовок Знак"/>
    <w:basedOn w:val="a0"/>
    <w:link w:val="ab"/>
    <w:uiPriority w:val="11"/>
    <w:rsid w:val="00F2698E"/>
    <w:rPr>
      <w:rFonts w:asciiTheme="majorHAnsi" w:eastAsiaTheme="majorEastAsia" w:hAnsiTheme="majorHAnsi" w:cstheme="majorBidi"/>
      <w:color w:val="404040" w:themeColor="text1" w:themeTint="BF"/>
      <w:sz w:val="30"/>
      <w:szCs w:val="30"/>
    </w:rPr>
  </w:style>
  <w:style w:type="character" w:styleId="ad">
    <w:name w:val="Strong"/>
    <w:basedOn w:val="a0"/>
    <w:uiPriority w:val="22"/>
    <w:qFormat/>
    <w:rsid w:val="00F2698E"/>
    <w:rPr>
      <w:b/>
      <w:bCs/>
    </w:rPr>
  </w:style>
  <w:style w:type="character" w:styleId="ae">
    <w:name w:val="Emphasis"/>
    <w:basedOn w:val="a0"/>
    <w:uiPriority w:val="20"/>
    <w:qFormat/>
    <w:rsid w:val="00F2698E"/>
    <w:rPr>
      <w:i/>
      <w:iCs/>
    </w:rPr>
  </w:style>
  <w:style w:type="paragraph" w:styleId="af">
    <w:name w:val="No Spacing"/>
    <w:uiPriority w:val="1"/>
    <w:qFormat/>
    <w:rsid w:val="00F2698E"/>
    <w:pPr>
      <w:spacing w:after="0" w:line="240" w:lineRule="auto"/>
    </w:pPr>
  </w:style>
  <w:style w:type="paragraph" w:styleId="21">
    <w:name w:val="Quote"/>
    <w:basedOn w:val="a"/>
    <w:next w:val="a"/>
    <w:link w:val="22"/>
    <w:uiPriority w:val="29"/>
    <w:qFormat/>
    <w:rsid w:val="00F2698E"/>
    <w:pPr>
      <w:spacing w:before="240" w:after="240" w:line="252" w:lineRule="auto"/>
      <w:ind w:left="864" w:right="864"/>
      <w:jc w:val="center"/>
    </w:pPr>
    <w:rPr>
      <w:i/>
      <w:iCs/>
    </w:rPr>
  </w:style>
  <w:style w:type="character" w:customStyle="1" w:styleId="22">
    <w:name w:val="Цитата 2 Знак"/>
    <w:basedOn w:val="a0"/>
    <w:link w:val="21"/>
    <w:uiPriority w:val="29"/>
    <w:rsid w:val="00F2698E"/>
    <w:rPr>
      <w:i/>
      <w:iCs/>
    </w:rPr>
  </w:style>
  <w:style w:type="paragraph" w:styleId="af0">
    <w:name w:val="Intense Quote"/>
    <w:basedOn w:val="a"/>
    <w:next w:val="a"/>
    <w:link w:val="af1"/>
    <w:uiPriority w:val="30"/>
    <w:qFormat/>
    <w:rsid w:val="00F2698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1">
    <w:name w:val="Выделенная цитата Знак"/>
    <w:basedOn w:val="a0"/>
    <w:link w:val="af0"/>
    <w:uiPriority w:val="30"/>
    <w:rsid w:val="00F2698E"/>
    <w:rPr>
      <w:rFonts w:asciiTheme="majorHAnsi" w:eastAsiaTheme="majorEastAsia" w:hAnsiTheme="majorHAnsi" w:cstheme="majorBidi"/>
      <w:color w:val="5B9BD5" w:themeColor="accent1"/>
      <w:sz w:val="28"/>
      <w:szCs w:val="28"/>
    </w:rPr>
  </w:style>
  <w:style w:type="character" w:styleId="af2">
    <w:name w:val="Subtle Emphasis"/>
    <w:basedOn w:val="a0"/>
    <w:uiPriority w:val="19"/>
    <w:qFormat/>
    <w:rsid w:val="00F2698E"/>
    <w:rPr>
      <w:i/>
      <w:iCs/>
      <w:color w:val="595959" w:themeColor="text1" w:themeTint="A6"/>
    </w:rPr>
  </w:style>
  <w:style w:type="character" w:styleId="af3">
    <w:name w:val="Intense Emphasis"/>
    <w:basedOn w:val="a0"/>
    <w:uiPriority w:val="21"/>
    <w:qFormat/>
    <w:rsid w:val="00F2698E"/>
    <w:rPr>
      <w:b/>
      <w:bCs/>
      <w:i/>
      <w:iCs/>
    </w:rPr>
  </w:style>
  <w:style w:type="character" w:styleId="af4">
    <w:name w:val="Subtle Reference"/>
    <w:basedOn w:val="a0"/>
    <w:uiPriority w:val="31"/>
    <w:qFormat/>
    <w:rsid w:val="00F2698E"/>
    <w:rPr>
      <w:smallCaps/>
      <w:color w:val="404040" w:themeColor="text1" w:themeTint="BF"/>
    </w:rPr>
  </w:style>
  <w:style w:type="character" w:styleId="af5">
    <w:name w:val="Intense Reference"/>
    <w:basedOn w:val="a0"/>
    <w:uiPriority w:val="32"/>
    <w:qFormat/>
    <w:rsid w:val="00F2698E"/>
    <w:rPr>
      <w:b/>
      <w:bCs/>
      <w:smallCaps/>
      <w:u w:val="single"/>
    </w:rPr>
  </w:style>
  <w:style w:type="character" w:styleId="af6">
    <w:name w:val="Book Title"/>
    <w:basedOn w:val="a0"/>
    <w:uiPriority w:val="33"/>
    <w:qFormat/>
    <w:rsid w:val="00F2698E"/>
    <w:rPr>
      <w:b/>
      <w:bCs/>
      <w:smallCaps/>
    </w:rPr>
  </w:style>
  <w:style w:type="paragraph" w:styleId="af7">
    <w:name w:val="TOC Heading"/>
    <w:basedOn w:val="1"/>
    <w:next w:val="a"/>
    <w:uiPriority w:val="39"/>
    <w:semiHidden/>
    <w:unhideWhenUsed/>
    <w:qFormat/>
    <w:rsid w:val="00F269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872">
      <w:bodyDiv w:val="1"/>
      <w:marLeft w:val="0"/>
      <w:marRight w:val="0"/>
      <w:marTop w:val="0"/>
      <w:marBottom w:val="0"/>
      <w:divBdr>
        <w:top w:val="none" w:sz="0" w:space="0" w:color="auto"/>
        <w:left w:val="none" w:sz="0" w:space="0" w:color="auto"/>
        <w:bottom w:val="none" w:sz="0" w:space="0" w:color="auto"/>
        <w:right w:val="none" w:sz="0" w:space="0" w:color="auto"/>
      </w:divBdr>
    </w:div>
    <w:div w:id="120809120">
      <w:bodyDiv w:val="1"/>
      <w:marLeft w:val="0"/>
      <w:marRight w:val="0"/>
      <w:marTop w:val="0"/>
      <w:marBottom w:val="0"/>
      <w:divBdr>
        <w:top w:val="none" w:sz="0" w:space="0" w:color="auto"/>
        <w:left w:val="none" w:sz="0" w:space="0" w:color="auto"/>
        <w:bottom w:val="none" w:sz="0" w:space="0" w:color="auto"/>
        <w:right w:val="none" w:sz="0" w:space="0" w:color="auto"/>
      </w:divBdr>
    </w:div>
    <w:div w:id="240875037">
      <w:bodyDiv w:val="1"/>
      <w:marLeft w:val="0"/>
      <w:marRight w:val="0"/>
      <w:marTop w:val="0"/>
      <w:marBottom w:val="0"/>
      <w:divBdr>
        <w:top w:val="none" w:sz="0" w:space="0" w:color="auto"/>
        <w:left w:val="none" w:sz="0" w:space="0" w:color="auto"/>
        <w:bottom w:val="none" w:sz="0" w:space="0" w:color="auto"/>
        <w:right w:val="none" w:sz="0" w:space="0" w:color="auto"/>
      </w:divBdr>
    </w:div>
    <w:div w:id="885526870">
      <w:bodyDiv w:val="1"/>
      <w:marLeft w:val="0"/>
      <w:marRight w:val="0"/>
      <w:marTop w:val="0"/>
      <w:marBottom w:val="0"/>
      <w:divBdr>
        <w:top w:val="none" w:sz="0" w:space="0" w:color="auto"/>
        <w:left w:val="none" w:sz="0" w:space="0" w:color="auto"/>
        <w:bottom w:val="none" w:sz="0" w:space="0" w:color="auto"/>
        <w:right w:val="none" w:sz="0" w:space="0" w:color="auto"/>
      </w:divBdr>
    </w:div>
    <w:div w:id="1328633740">
      <w:bodyDiv w:val="1"/>
      <w:marLeft w:val="0"/>
      <w:marRight w:val="0"/>
      <w:marTop w:val="0"/>
      <w:marBottom w:val="0"/>
      <w:divBdr>
        <w:top w:val="none" w:sz="0" w:space="0" w:color="auto"/>
        <w:left w:val="none" w:sz="0" w:space="0" w:color="auto"/>
        <w:bottom w:val="none" w:sz="0" w:space="0" w:color="auto"/>
        <w:right w:val="none" w:sz="0" w:space="0" w:color="auto"/>
      </w:divBdr>
    </w:div>
    <w:div w:id="1604603694">
      <w:bodyDiv w:val="1"/>
      <w:marLeft w:val="0"/>
      <w:marRight w:val="0"/>
      <w:marTop w:val="0"/>
      <w:marBottom w:val="0"/>
      <w:divBdr>
        <w:top w:val="none" w:sz="0" w:space="0" w:color="auto"/>
        <w:left w:val="none" w:sz="0" w:space="0" w:color="auto"/>
        <w:bottom w:val="none" w:sz="0" w:space="0" w:color="auto"/>
        <w:right w:val="none" w:sz="0" w:space="0" w:color="auto"/>
      </w:divBdr>
    </w:div>
    <w:div w:id="17079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Сукупний дохід</a:t>
            </a:r>
          </a:p>
        </c:rich>
      </c:tx>
      <c:overlay val="0"/>
      <c:spPr>
        <a:noFill/>
        <a:ln>
          <a:noFill/>
        </a:ln>
        <a:effectLst/>
      </c:spPr>
    </c:title>
    <c:autoTitleDeleted val="0"/>
    <c:plotArea>
      <c:layout>
        <c:manualLayout>
          <c:layoutTarget val="inner"/>
          <c:xMode val="edge"/>
          <c:yMode val="edge"/>
          <c:x val="0.20181941174878915"/>
          <c:y val="0.1194761904761905"/>
          <c:w val="0.64835240955705276"/>
          <c:h val="0.66112673415823009"/>
        </c:manualLayout>
      </c:layout>
      <c:barChart>
        <c:barDir val="bar"/>
        <c:grouping val="clustered"/>
        <c:varyColors val="0"/>
        <c:ser>
          <c:idx val="0"/>
          <c:order val="0"/>
          <c:tx>
            <c:strRef>
              <c:f>Лист1!$B$1</c:f>
              <c:strCache>
                <c:ptCount val="1"/>
                <c:pt idx="0">
                  <c:v>сукупний дохід</c:v>
                </c:pt>
              </c:strCache>
            </c:strRef>
          </c:tx>
          <c:spPr>
            <a:solidFill>
              <a:schemeClr val="accent5">
                <a:shade val="6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Звітний період</c:v>
                </c:pt>
                <c:pt idx="1">
                  <c:v>Попередній період</c:v>
                </c:pt>
              </c:strCache>
            </c:strRef>
          </c:cat>
          <c:val>
            <c:numRef>
              <c:f>Лист1!$B$2:$B$5</c:f>
              <c:numCache>
                <c:formatCode>General</c:formatCode>
                <c:ptCount val="4"/>
                <c:pt idx="0">
                  <c:v>20674</c:v>
                </c:pt>
                <c:pt idx="1">
                  <c:v>9289</c:v>
                </c:pt>
              </c:numCache>
            </c:numRef>
          </c:val>
          <c:extLst xmlns:c16r2="http://schemas.microsoft.com/office/drawing/2015/06/chart">
            <c:ext xmlns:c16="http://schemas.microsoft.com/office/drawing/2014/chart" uri="{C3380CC4-5D6E-409C-BE32-E72D297353CC}">
              <c16:uniqueId val="{00000000-A3DA-4B9F-95FF-05CFB2F3B82A}"/>
            </c:ext>
          </c:extLst>
        </c:ser>
        <c:ser>
          <c:idx val="1"/>
          <c:order val="1"/>
          <c:tx>
            <c:strRef>
              <c:f>Лист1!$C$1</c:f>
              <c:strCache>
                <c:ptCount val="1"/>
                <c:pt idx="0">
                  <c:v>Столбец2</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Звітний період</c:v>
                </c:pt>
                <c:pt idx="1">
                  <c:v>Попередній період</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A3DA-4B9F-95FF-05CFB2F3B82A}"/>
            </c:ext>
          </c:extLst>
        </c:ser>
        <c:ser>
          <c:idx val="2"/>
          <c:order val="2"/>
          <c:tx>
            <c:strRef>
              <c:f>Лист1!$D$1</c:f>
              <c:strCache>
                <c:ptCount val="1"/>
                <c:pt idx="0">
                  <c:v>Столбец1</c:v>
                </c:pt>
              </c:strCache>
            </c:strRef>
          </c:tx>
          <c:spPr>
            <a:solidFill>
              <a:schemeClr val="accent5">
                <a:tint val="6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Звітний період</c:v>
                </c:pt>
                <c:pt idx="1">
                  <c:v>Попередній період</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A3DA-4B9F-95FF-05CFB2F3B82A}"/>
            </c:ext>
          </c:extLst>
        </c:ser>
        <c:dLbls>
          <c:dLblPos val="inEnd"/>
          <c:showLegendKey val="0"/>
          <c:showVal val="1"/>
          <c:showCatName val="0"/>
          <c:showSerName val="0"/>
          <c:showPercent val="0"/>
          <c:showBubbleSize val="0"/>
        </c:dLbls>
        <c:gapWidth val="65"/>
        <c:axId val="191526784"/>
        <c:axId val="199582848"/>
      </c:barChart>
      <c:catAx>
        <c:axId val="1915267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99582848"/>
        <c:crosses val="autoZero"/>
        <c:auto val="1"/>
        <c:lblAlgn val="ctr"/>
        <c:lblOffset val="100"/>
        <c:noMultiLvlLbl val="0"/>
      </c:catAx>
      <c:valAx>
        <c:axId val="1995828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915267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Операційні витрати</a:t>
            </a:r>
          </a:p>
        </c:rich>
      </c:tx>
      <c:overlay val="0"/>
      <c:spPr>
        <a:noFill/>
        <a:ln>
          <a:noFill/>
        </a:ln>
        <a:effectLst/>
      </c:spPr>
    </c:title>
    <c:autoTitleDeleted val="0"/>
    <c:plotArea>
      <c:layout>
        <c:manualLayout>
          <c:layoutTarget val="inner"/>
          <c:xMode val="edge"/>
          <c:yMode val="edge"/>
          <c:x val="0.20665489382603355"/>
          <c:y val="0.16180143649708459"/>
          <c:w val="0.71919646314702468"/>
          <c:h val="0.76219422572178475"/>
        </c:manualLayout>
      </c:layout>
      <c:barChart>
        <c:barDir val="bar"/>
        <c:grouping val="clustered"/>
        <c:varyColors val="0"/>
        <c:ser>
          <c:idx val="0"/>
          <c:order val="0"/>
          <c:tx>
            <c:strRef>
              <c:f>Лист1!$B$1</c:f>
              <c:strCache>
                <c:ptCount val="1"/>
                <c:pt idx="0">
                  <c:v>Столбец1</c:v>
                </c:pt>
              </c:strCache>
            </c:strRef>
          </c:tx>
          <c:spPr>
            <a:solidFill>
              <a:schemeClr val="accent5">
                <a:shade val="6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Звітний період</c:v>
                </c:pt>
                <c:pt idx="1">
                  <c:v>Попередній період</c:v>
                </c:pt>
              </c:strCache>
            </c:strRef>
          </c:cat>
          <c:val>
            <c:numRef>
              <c:f>Лист1!$B$2:$B$5</c:f>
              <c:numCache>
                <c:formatCode>General</c:formatCode>
                <c:ptCount val="4"/>
                <c:pt idx="0">
                  <c:v>183708</c:v>
                </c:pt>
                <c:pt idx="1">
                  <c:v>195001</c:v>
                </c:pt>
              </c:numCache>
            </c:numRef>
          </c:val>
          <c:extLst xmlns:c16r2="http://schemas.microsoft.com/office/drawing/2015/06/chart">
            <c:ext xmlns:c16="http://schemas.microsoft.com/office/drawing/2014/chart" uri="{C3380CC4-5D6E-409C-BE32-E72D297353CC}">
              <c16:uniqueId val="{00000000-7735-49D9-989F-5E36541560CD}"/>
            </c:ext>
          </c:extLst>
        </c:ser>
        <c:ser>
          <c:idx val="1"/>
          <c:order val="1"/>
          <c:tx>
            <c:strRef>
              <c:f>Лист1!$C$1</c:f>
              <c:strCache>
                <c:ptCount val="1"/>
                <c:pt idx="0">
                  <c:v>Столбец2</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Звітний період</c:v>
                </c:pt>
                <c:pt idx="1">
                  <c:v>Попередній період</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7735-49D9-989F-5E36541560CD}"/>
            </c:ext>
          </c:extLst>
        </c:ser>
        <c:ser>
          <c:idx val="2"/>
          <c:order val="2"/>
          <c:tx>
            <c:strRef>
              <c:f>Лист1!$D$1</c:f>
              <c:strCache>
                <c:ptCount val="1"/>
                <c:pt idx="0">
                  <c:v>Столбец3</c:v>
                </c:pt>
              </c:strCache>
            </c:strRef>
          </c:tx>
          <c:spPr>
            <a:solidFill>
              <a:schemeClr val="accent5">
                <a:tint val="6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Звітний період</c:v>
                </c:pt>
                <c:pt idx="1">
                  <c:v>Попередній період</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7735-49D9-989F-5E36541560CD}"/>
            </c:ext>
          </c:extLst>
        </c:ser>
        <c:dLbls>
          <c:dLblPos val="inEnd"/>
          <c:showLegendKey val="0"/>
          <c:showVal val="1"/>
          <c:showCatName val="0"/>
          <c:showSerName val="0"/>
          <c:showPercent val="0"/>
          <c:showBubbleSize val="0"/>
        </c:dLbls>
        <c:gapWidth val="65"/>
        <c:axId val="172647552"/>
        <c:axId val="172649088"/>
      </c:barChart>
      <c:catAx>
        <c:axId val="1726475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72649088"/>
        <c:crosses val="autoZero"/>
        <c:auto val="1"/>
        <c:lblAlgn val="ctr"/>
        <c:lblOffset val="100"/>
        <c:noMultiLvlLbl val="0"/>
      </c:catAx>
      <c:valAx>
        <c:axId val="17264908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1726475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17348</Words>
  <Characters>9889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6</cp:revision>
  <dcterms:created xsi:type="dcterms:W3CDTF">2019-02-26T15:11:00Z</dcterms:created>
  <dcterms:modified xsi:type="dcterms:W3CDTF">2019-02-26T15:36:00Z</dcterms:modified>
</cp:coreProperties>
</file>